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3EB4B" w14:textId="77777777" w:rsidR="005B3C66" w:rsidRDefault="005B3C66" w:rsidP="005B3C66">
      <w:pPr>
        <w:jc w:val="center"/>
        <w:outlineLvl w:val="0"/>
        <w:rPr>
          <w:rFonts w:ascii="Garamond" w:hAnsi="Garamond"/>
          <w:b/>
        </w:rPr>
      </w:pPr>
      <w:bookmarkStart w:id="0" w:name="_GoBack"/>
      <w:bookmarkEnd w:id="0"/>
    </w:p>
    <w:p w14:paraId="3BF68E70" w14:textId="77777777" w:rsidR="005B3C66" w:rsidRDefault="005B3C66" w:rsidP="005B3C66">
      <w:pPr>
        <w:jc w:val="center"/>
        <w:outlineLvl w:val="0"/>
        <w:rPr>
          <w:rFonts w:ascii="Garamond" w:hAnsi="Garamond"/>
          <w:b/>
        </w:rPr>
      </w:pPr>
    </w:p>
    <w:p w14:paraId="7CC331A1" w14:textId="77777777" w:rsidR="005B3C66" w:rsidRPr="002B65B1" w:rsidRDefault="005B3C66" w:rsidP="005B3C66">
      <w:pPr>
        <w:jc w:val="center"/>
        <w:outlineLvl w:val="0"/>
        <w:rPr>
          <w:rFonts w:ascii="Garamond" w:hAnsi="Garamond"/>
          <w:b/>
        </w:rPr>
      </w:pPr>
      <w:r w:rsidRPr="002B65B1">
        <w:rPr>
          <w:rFonts w:ascii="Garamond" w:hAnsi="Garamond"/>
          <w:b/>
        </w:rPr>
        <w:t>Public Opinion and Crisis Behavior in a Nuclearized South Asia</w:t>
      </w:r>
      <w:r w:rsidRPr="002B65B1">
        <w:rPr>
          <w:rStyle w:val="FootnoteReference"/>
          <w:rFonts w:ascii="Garamond" w:hAnsi="Garamond"/>
          <w:b/>
        </w:rPr>
        <w:footnoteReference w:customMarkFollows="1" w:id="1"/>
        <w:t>^</w:t>
      </w:r>
    </w:p>
    <w:p w14:paraId="6753F09C" w14:textId="77777777" w:rsidR="005B3C66" w:rsidRPr="002B65B1" w:rsidRDefault="005B3C66" w:rsidP="005B3C66">
      <w:pPr>
        <w:jc w:val="center"/>
        <w:rPr>
          <w:rFonts w:ascii="Garamond" w:hAnsi="Garamond"/>
        </w:rPr>
      </w:pPr>
    </w:p>
    <w:p w14:paraId="1A428C15" w14:textId="77777777" w:rsidR="005B3C66" w:rsidRPr="002B65B1" w:rsidRDefault="005B3C66" w:rsidP="005B3C66">
      <w:pPr>
        <w:jc w:val="center"/>
        <w:outlineLvl w:val="0"/>
        <w:rPr>
          <w:rFonts w:ascii="Garamond" w:hAnsi="Garamond"/>
        </w:rPr>
      </w:pPr>
      <w:r w:rsidRPr="002B65B1">
        <w:rPr>
          <w:rFonts w:ascii="Garamond" w:hAnsi="Garamond"/>
        </w:rPr>
        <w:t xml:space="preserve">Christopher Clary, </w:t>
      </w:r>
      <w:r>
        <w:rPr>
          <w:rFonts w:ascii="Garamond" w:hAnsi="Garamond"/>
        </w:rPr>
        <w:t xml:space="preserve">Assistant Professor, </w:t>
      </w:r>
      <w:r w:rsidRPr="002B65B1">
        <w:rPr>
          <w:rFonts w:ascii="Garamond" w:hAnsi="Garamond"/>
        </w:rPr>
        <w:t>University at Albany</w:t>
      </w:r>
      <w:r>
        <w:rPr>
          <w:rFonts w:ascii="Garamond" w:hAnsi="Garamond"/>
        </w:rPr>
        <w:t>-State University of New York</w:t>
      </w:r>
    </w:p>
    <w:p w14:paraId="0604BB54" w14:textId="77777777" w:rsidR="005B3C66" w:rsidRPr="002B65B1" w:rsidRDefault="005B3C66" w:rsidP="005B3C66">
      <w:pPr>
        <w:jc w:val="center"/>
        <w:outlineLvl w:val="0"/>
        <w:rPr>
          <w:rFonts w:ascii="Garamond" w:hAnsi="Garamond"/>
        </w:rPr>
      </w:pPr>
      <w:r w:rsidRPr="002B65B1">
        <w:rPr>
          <w:rFonts w:ascii="Garamond" w:hAnsi="Garamond"/>
        </w:rPr>
        <w:t xml:space="preserve">Sameer </w:t>
      </w:r>
      <w:r>
        <w:rPr>
          <w:rFonts w:ascii="Garamond" w:hAnsi="Garamond"/>
        </w:rPr>
        <w:t xml:space="preserve">P. </w:t>
      </w:r>
      <w:r w:rsidRPr="002B65B1">
        <w:rPr>
          <w:rFonts w:ascii="Garamond" w:hAnsi="Garamond"/>
        </w:rPr>
        <w:t xml:space="preserve">Lalwani, </w:t>
      </w:r>
      <w:r>
        <w:rPr>
          <w:rFonts w:ascii="Garamond" w:hAnsi="Garamond"/>
        </w:rPr>
        <w:t xml:space="preserve">Director, South Asia Program, </w:t>
      </w:r>
      <w:r w:rsidRPr="002B65B1">
        <w:rPr>
          <w:rFonts w:ascii="Garamond" w:hAnsi="Garamond"/>
        </w:rPr>
        <w:t>Stimson Center</w:t>
      </w:r>
    </w:p>
    <w:p w14:paraId="7E9333BE" w14:textId="77777777" w:rsidR="005B3C66" w:rsidRPr="002B65B1" w:rsidRDefault="005B3C66" w:rsidP="005B3C66">
      <w:pPr>
        <w:jc w:val="center"/>
        <w:outlineLvl w:val="0"/>
        <w:rPr>
          <w:rFonts w:ascii="Garamond" w:hAnsi="Garamond"/>
        </w:rPr>
      </w:pPr>
      <w:r w:rsidRPr="002B65B1">
        <w:rPr>
          <w:rFonts w:ascii="Garamond" w:hAnsi="Garamond"/>
        </w:rPr>
        <w:t xml:space="preserve">Niloufer Siddiqui, </w:t>
      </w:r>
      <w:r>
        <w:rPr>
          <w:rFonts w:ascii="Garamond" w:hAnsi="Garamond"/>
        </w:rPr>
        <w:t xml:space="preserve">Assistant Professor, </w:t>
      </w:r>
      <w:r w:rsidRPr="002B65B1">
        <w:rPr>
          <w:rFonts w:ascii="Garamond" w:hAnsi="Garamond"/>
        </w:rPr>
        <w:t>University at Albany</w:t>
      </w:r>
      <w:r>
        <w:rPr>
          <w:rFonts w:ascii="Garamond" w:hAnsi="Garamond"/>
        </w:rPr>
        <w:t>-State University of New York</w:t>
      </w:r>
      <w:r w:rsidRPr="002B65B1">
        <w:rPr>
          <w:rFonts w:ascii="Garamond" w:hAnsi="Garamond"/>
        </w:rPr>
        <w:t xml:space="preserve"> </w:t>
      </w:r>
    </w:p>
    <w:p w14:paraId="703502FF" w14:textId="77777777" w:rsidR="005B3C66" w:rsidRPr="002B65B1" w:rsidRDefault="005B3C66" w:rsidP="005B3C66">
      <w:pPr>
        <w:rPr>
          <w:rFonts w:ascii="Garamond" w:hAnsi="Garamond"/>
        </w:rPr>
      </w:pPr>
    </w:p>
    <w:p w14:paraId="3CC0DDF5" w14:textId="77777777" w:rsidR="005B3C66" w:rsidRPr="002B65B1" w:rsidRDefault="005B3C66" w:rsidP="005B3C66">
      <w:pPr>
        <w:rPr>
          <w:rFonts w:ascii="Garamond" w:hAnsi="Garamond"/>
        </w:rPr>
      </w:pPr>
    </w:p>
    <w:p w14:paraId="4E0FDA71" w14:textId="77777777" w:rsidR="005B3C66" w:rsidRPr="002B65B1" w:rsidRDefault="005B3C66" w:rsidP="005B3C66">
      <w:pPr>
        <w:rPr>
          <w:rFonts w:ascii="Garamond" w:hAnsi="Garamond"/>
          <w:b/>
        </w:rPr>
      </w:pPr>
      <w:r w:rsidRPr="002B65B1">
        <w:rPr>
          <w:rFonts w:ascii="Garamond" w:hAnsi="Garamond"/>
          <w:b/>
        </w:rPr>
        <w:t xml:space="preserve">Abstract </w:t>
      </w:r>
    </w:p>
    <w:p w14:paraId="513C041B" w14:textId="77777777" w:rsidR="005B3C66" w:rsidRPr="002B65B1" w:rsidRDefault="005B3C66" w:rsidP="005B3C66">
      <w:pPr>
        <w:rPr>
          <w:rFonts w:ascii="Garamond" w:hAnsi="Garamond"/>
        </w:rPr>
      </w:pPr>
    </w:p>
    <w:p w14:paraId="06765E99" w14:textId="77777777" w:rsidR="005B3C66" w:rsidRPr="002B65B1" w:rsidRDefault="005B3C66" w:rsidP="005B3C66">
      <w:pPr>
        <w:ind w:firstLine="720"/>
        <w:jc w:val="both"/>
        <w:rPr>
          <w:rFonts w:ascii="Garamond" w:hAnsi="Garamond"/>
        </w:rPr>
      </w:pPr>
      <w:r>
        <w:rPr>
          <w:rFonts w:ascii="Garamond" w:eastAsia="Times New Roman" w:hAnsi="Garamond" w:cs="Times New Roman"/>
          <w:color w:val="000000"/>
          <w:shd w:val="clear" w:color="auto" w:fill="FFFFFF"/>
        </w:rPr>
        <w:t xml:space="preserve">Research on public opinion and crisis behavior has focused on pressures felt by leaders that have initiated a crisis, not on leaders in target states responding to adversary provocation. </w:t>
      </w:r>
      <w:r w:rsidRPr="002B65B1">
        <w:rPr>
          <w:rFonts w:ascii="Garamond" w:eastAsia="Times New Roman" w:hAnsi="Garamond" w:cs="Times New Roman"/>
          <w:color w:val="000000"/>
          <w:shd w:val="clear" w:color="auto" w:fill="FFFFFF"/>
        </w:rPr>
        <w:t>Our survey</w:t>
      </w:r>
      <w:r>
        <w:rPr>
          <w:rFonts w:ascii="Garamond" w:eastAsia="Times New Roman" w:hAnsi="Garamond" w:cs="Times New Roman"/>
          <w:color w:val="000000"/>
          <w:shd w:val="clear" w:color="auto" w:fill="FFFFFF"/>
        </w:rPr>
        <w:t xml:space="preserve"> experiment involving</w:t>
      </w:r>
      <w:r w:rsidRPr="002B65B1">
        <w:rPr>
          <w:rFonts w:ascii="Garamond" w:eastAsia="Times New Roman" w:hAnsi="Garamond" w:cs="Times New Roman"/>
          <w:color w:val="000000"/>
          <w:shd w:val="clear" w:color="auto" w:fill="FFFFFF"/>
        </w:rPr>
        <w:t xml:space="preserve"> 1,823 </w:t>
      </w:r>
      <w:r>
        <w:rPr>
          <w:rFonts w:ascii="Garamond" w:eastAsia="Times New Roman" w:hAnsi="Garamond" w:cs="Times New Roman"/>
          <w:color w:val="000000"/>
          <w:shd w:val="clear" w:color="auto" w:fill="FFFFFF"/>
        </w:rPr>
        <w:t>respondents</w:t>
      </w:r>
      <w:r w:rsidRPr="002B65B1">
        <w:rPr>
          <w:rFonts w:ascii="Garamond" w:eastAsia="Times New Roman" w:hAnsi="Garamond" w:cs="Times New Roman"/>
          <w:color w:val="000000"/>
          <w:shd w:val="clear" w:color="auto" w:fill="FFFFFF"/>
        </w:rPr>
        <w:t xml:space="preserve"> in Pakistan’s Punjab province, </w:t>
      </w:r>
      <w:r>
        <w:rPr>
          <w:rFonts w:ascii="Garamond" w:eastAsia="Times New Roman" w:hAnsi="Garamond" w:cs="Times New Roman"/>
          <w:color w:val="000000"/>
          <w:shd w:val="clear" w:color="auto" w:fill="FFFFFF"/>
        </w:rPr>
        <w:t>finds</w:t>
      </w:r>
      <w:r w:rsidRPr="002B65B1">
        <w:rPr>
          <w:rFonts w:ascii="Garamond" w:eastAsia="Times New Roman" w:hAnsi="Garamond" w:cs="Times New Roman"/>
          <w:color w:val="000000"/>
          <w:shd w:val="clear" w:color="auto" w:fill="FFFFFF"/>
        </w:rPr>
        <w:t xml:space="preserve"> public support for escalating rather than de-escalating </w:t>
      </w:r>
      <w:r>
        <w:rPr>
          <w:rFonts w:ascii="Garamond" w:eastAsia="Times New Roman" w:hAnsi="Garamond" w:cs="Times New Roman"/>
          <w:color w:val="000000"/>
          <w:shd w:val="clear" w:color="auto" w:fill="FFFFFF"/>
        </w:rPr>
        <w:t xml:space="preserve">such </w:t>
      </w:r>
      <w:r w:rsidRPr="002B65B1">
        <w:rPr>
          <w:rFonts w:ascii="Garamond" w:eastAsia="Times New Roman" w:hAnsi="Garamond" w:cs="Times New Roman"/>
          <w:color w:val="000000"/>
          <w:shd w:val="clear" w:color="auto" w:fill="FFFFFF"/>
        </w:rPr>
        <w:t>a crisis</w:t>
      </w:r>
      <w:r>
        <w:rPr>
          <w:rFonts w:ascii="Garamond" w:eastAsia="Times New Roman" w:hAnsi="Garamond" w:cs="Times New Roman"/>
          <w:color w:val="000000"/>
          <w:shd w:val="clear" w:color="auto" w:fill="FFFFFF"/>
        </w:rPr>
        <w:t>. It shows how public pressures can encourage conflict</w:t>
      </w:r>
      <w:r w:rsidRPr="002B65B1">
        <w:rPr>
          <w:rFonts w:ascii="Garamond" w:eastAsia="Times New Roman" w:hAnsi="Garamond" w:cs="Times New Roman"/>
          <w:color w:val="000000"/>
          <w:shd w:val="clear" w:color="auto" w:fill="FFFFFF"/>
        </w:rPr>
        <w:t xml:space="preserve"> even </w:t>
      </w:r>
      <w:r>
        <w:rPr>
          <w:rFonts w:ascii="Garamond" w:eastAsia="Times New Roman" w:hAnsi="Garamond" w:cs="Times New Roman"/>
          <w:color w:val="000000"/>
          <w:shd w:val="clear" w:color="auto" w:fill="FFFFFF"/>
        </w:rPr>
        <w:t>in instances where a</w:t>
      </w:r>
      <w:r w:rsidRPr="002B65B1">
        <w:rPr>
          <w:rFonts w:ascii="Garamond" w:eastAsia="Times New Roman" w:hAnsi="Garamond" w:cs="Times New Roman"/>
          <w:color w:val="000000"/>
          <w:shd w:val="clear" w:color="auto" w:fill="FFFFFF"/>
        </w:rPr>
        <w:t xml:space="preserve"> leader has engaged in no prior effort to generate audience costs following crisis onset. </w:t>
      </w:r>
      <w:r>
        <w:rPr>
          <w:rFonts w:ascii="Garamond" w:eastAsia="Times New Roman" w:hAnsi="Garamond" w:cs="Times New Roman"/>
          <w:color w:val="000000"/>
          <w:shd w:val="clear" w:color="auto" w:fill="FFFFFF"/>
        </w:rPr>
        <w:t>Survey respondents were</w:t>
      </w:r>
      <w:r w:rsidRPr="002B65B1">
        <w:rPr>
          <w:rFonts w:ascii="Garamond" w:eastAsia="Times New Roman" w:hAnsi="Garamond" w:cs="Times New Roman"/>
          <w:color w:val="000000"/>
          <w:shd w:val="clear" w:color="auto" w:fill="FFFFFF"/>
        </w:rPr>
        <w:t xml:space="preserve"> </w:t>
      </w:r>
      <w:r>
        <w:rPr>
          <w:rFonts w:ascii="Garamond" w:eastAsia="Times New Roman" w:hAnsi="Garamond" w:cs="Times New Roman"/>
          <w:color w:val="000000"/>
          <w:shd w:val="clear" w:color="auto" w:fill="FFFFFF"/>
        </w:rPr>
        <w:t>also</w:t>
      </w:r>
      <w:r w:rsidRPr="002B65B1">
        <w:rPr>
          <w:rFonts w:ascii="Garamond" w:eastAsia="Times New Roman" w:hAnsi="Garamond" w:cs="Times New Roman"/>
          <w:color w:val="000000"/>
          <w:shd w:val="clear" w:color="auto" w:fill="FFFFFF"/>
        </w:rPr>
        <w:t xml:space="preserve"> more likely to support escalatory decisions if they </w:t>
      </w:r>
      <w:r>
        <w:rPr>
          <w:rFonts w:ascii="Garamond" w:eastAsia="Times New Roman" w:hAnsi="Garamond" w:cs="Times New Roman"/>
          <w:color w:val="000000"/>
          <w:shd w:val="clear" w:color="auto" w:fill="FFFFFF"/>
        </w:rPr>
        <w:t>we</w:t>
      </w:r>
      <w:r w:rsidRPr="002B65B1">
        <w:rPr>
          <w:rFonts w:ascii="Garamond" w:eastAsia="Times New Roman" w:hAnsi="Garamond" w:cs="Times New Roman"/>
          <w:color w:val="000000"/>
          <w:shd w:val="clear" w:color="auto" w:fill="FFFFFF"/>
        </w:rPr>
        <w:t xml:space="preserve">re made by a military, rather than civilian, leader, </w:t>
      </w:r>
      <w:r>
        <w:rPr>
          <w:rFonts w:ascii="Garamond" w:eastAsia="Times New Roman" w:hAnsi="Garamond" w:cs="Times New Roman"/>
          <w:color w:val="000000"/>
          <w:shd w:val="clear" w:color="auto" w:fill="FFFFFF"/>
        </w:rPr>
        <w:t>al</w:t>
      </w:r>
      <w:r w:rsidRPr="002B65B1">
        <w:rPr>
          <w:rFonts w:ascii="Garamond" w:eastAsia="Times New Roman" w:hAnsi="Garamond" w:cs="Times New Roman"/>
          <w:color w:val="000000"/>
          <w:shd w:val="clear" w:color="auto" w:fill="FFFFFF"/>
        </w:rPr>
        <w:t xml:space="preserve">though we </w:t>
      </w:r>
      <w:r>
        <w:rPr>
          <w:rFonts w:ascii="Garamond" w:eastAsia="Times New Roman" w:hAnsi="Garamond" w:cs="Times New Roman"/>
          <w:color w:val="000000"/>
          <w:shd w:val="clear" w:color="auto" w:fill="FFFFFF"/>
        </w:rPr>
        <w:t>do not find</w:t>
      </w:r>
      <w:r w:rsidRPr="002B65B1">
        <w:rPr>
          <w:rFonts w:ascii="Garamond" w:eastAsia="Times New Roman" w:hAnsi="Garamond" w:cs="Times New Roman"/>
          <w:color w:val="000000"/>
          <w:shd w:val="clear" w:color="auto" w:fill="FFFFFF"/>
        </w:rPr>
        <w:t xml:space="preserve"> that military leaders receive more support in de-escalatory decisions. Finally, while we demonstrate that leaders can mitigate the costs of de-escalating by </w:t>
      </w:r>
      <w:r>
        <w:rPr>
          <w:rFonts w:ascii="Garamond" w:eastAsia="Times New Roman" w:hAnsi="Garamond" w:cs="Times New Roman"/>
          <w:color w:val="000000"/>
          <w:shd w:val="clear" w:color="auto" w:fill="FFFFFF"/>
        </w:rPr>
        <w:t>highlighting</w:t>
      </w:r>
      <w:r w:rsidRPr="002B65B1">
        <w:rPr>
          <w:rFonts w:ascii="Garamond" w:eastAsia="Times New Roman" w:hAnsi="Garamond" w:cs="Times New Roman"/>
          <w:color w:val="000000"/>
          <w:shd w:val="clear" w:color="auto" w:fill="FFFFFF"/>
        </w:rPr>
        <w:t xml:space="preserve"> the </w:t>
      </w:r>
      <w:r>
        <w:rPr>
          <w:rFonts w:ascii="Garamond" w:eastAsia="Times New Roman" w:hAnsi="Garamond" w:cs="Times New Roman"/>
          <w:color w:val="000000"/>
          <w:shd w:val="clear" w:color="auto" w:fill="FFFFFF"/>
        </w:rPr>
        <w:t>dangers</w:t>
      </w:r>
      <w:r w:rsidRPr="002B65B1">
        <w:rPr>
          <w:rFonts w:ascii="Garamond" w:eastAsia="Times New Roman" w:hAnsi="Garamond" w:cs="Times New Roman"/>
          <w:color w:val="000000"/>
          <w:shd w:val="clear" w:color="auto" w:fill="FFFFFF"/>
        </w:rPr>
        <w:t xml:space="preserve"> of conflict, they still </w:t>
      </w:r>
      <w:r>
        <w:rPr>
          <w:rFonts w:ascii="Garamond" w:eastAsia="Times New Roman" w:hAnsi="Garamond" w:cs="Times New Roman"/>
          <w:color w:val="000000"/>
          <w:shd w:val="clear" w:color="auto" w:fill="FFFFFF"/>
        </w:rPr>
        <w:t>incur</w:t>
      </w:r>
      <w:r w:rsidRPr="002B65B1">
        <w:rPr>
          <w:rFonts w:ascii="Garamond" w:eastAsia="Times New Roman" w:hAnsi="Garamond" w:cs="Times New Roman"/>
          <w:color w:val="000000"/>
          <w:shd w:val="clear" w:color="auto" w:fill="FFFFFF"/>
        </w:rPr>
        <w:t xml:space="preserve"> substantial </w:t>
      </w:r>
      <w:r>
        <w:rPr>
          <w:rFonts w:ascii="Garamond" w:eastAsia="Times New Roman" w:hAnsi="Garamond" w:cs="Times New Roman"/>
          <w:color w:val="000000"/>
          <w:shd w:val="clear" w:color="auto" w:fill="FFFFFF"/>
        </w:rPr>
        <w:t>opportunity costs</w:t>
      </w:r>
      <w:r w:rsidRPr="002B65B1">
        <w:rPr>
          <w:rFonts w:ascii="Garamond" w:eastAsia="Times New Roman" w:hAnsi="Garamond" w:cs="Times New Roman"/>
          <w:color w:val="000000"/>
          <w:shd w:val="clear" w:color="auto" w:fill="FFFFFF"/>
        </w:rPr>
        <w:t xml:space="preserve"> in </w:t>
      </w:r>
      <w:r>
        <w:rPr>
          <w:rFonts w:ascii="Garamond" w:eastAsia="Times New Roman" w:hAnsi="Garamond" w:cs="Times New Roman"/>
          <w:color w:val="000000"/>
          <w:shd w:val="clear" w:color="auto" w:fill="FFFFFF"/>
        </w:rPr>
        <w:t xml:space="preserve">foregone </w:t>
      </w:r>
      <w:r w:rsidRPr="002B65B1">
        <w:rPr>
          <w:rFonts w:ascii="Garamond" w:eastAsia="Times New Roman" w:hAnsi="Garamond" w:cs="Times New Roman"/>
          <w:color w:val="000000"/>
          <w:shd w:val="clear" w:color="auto" w:fill="FFFFFF"/>
        </w:rPr>
        <w:t xml:space="preserve">public support when they opt to de-escalate rather than escalate a crisis. </w:t>
      </w:r>
    </w:p>
    <w:p w14:paraId="6EC1CF37" w14:textId="77777777" w:rsidR="005B3C66" w:rsidRDefault="005B3C66">
      <w:pPr>
        <w:rPr>
          <w:rFonts w:ascii="Garamond" w:hAnsi="Garamond"/>
          <w:b/>
        </w:rPr>
      </w:pPr>
      <w:r>
        <w:rPr>
          <w:rFonts w:ascii="Garamond" w:hAnsi="Garamond"/>
          <w:b/>
        </w:rPr>
        <w:br w:type="page"/>
      </w:r>
    </w:p>
    <w:p w14:paraId="760D5EFF" w14:textId="3243D151" w:rsidR="00F63B96" w:rsidRPr="00B21078" w:rsidRDefault="00CF020D" w:rsidP="0009296A">
      <w:pPr>
        <w:pStyle w:val="ListParagraph"/>
        <w:numPr>
          <w:ilvl w:val="0"/>
          <w:numId w:val="1"/>
        </w:numPr>
        <w:ind w:left="0" w:firstLine="0"/>
        <w:rPr>
          <w:rFonts w:ascii="Garamond" w:hAnsi="Garamond"/>
          <w:b/>
        </w:rPr>
      </w:pPr>
      <w:r w:rsidRPr="00B21078">
        <w:rPr>
          <w:rFonts w:ascii="Garamond" w:hAnsi="Garamond"/>
          <w:b/>
        </w:rPr>
        <w:lastRenderedPageBreak/>
        <w:t>Introduction</w:t>
      </w:r>
    </w:p>
    <w:p w14:paraId="7A0256B1" w14:textId="77777777" w:rsidR="00CF020D" w:rsidRPr="00B21078" w:rsidRDefault="00CF020D" w:rsidP="0009296A">
      <w:pPr>
        <w:pStyle w:val="ListParagraph"/>
        <w:ind w:left="0"/>
        <w:rPr>
          <w:rFonts w:ascii="Garamond" w:hAnsi="Garamond"/>
          <w:b/>
        </w:rPr>
      </w:pPr>
    </w:p>
    <w:p w14:paraId="4606BDC3" w14:textId="5686D9CA" w:rsidR="0010798B" w:rsidRDefault="00CC2410" w:rsidP="00A15016">
      <w:pPr>
        <w:spacing w:line="480" w:lineRule="auto"/>
        <w:ind w:firstLine="720"/>
        <w:rPr>
          <w:rFonts w:ascii="Garamond" w:hAnsi="Garamond"/>
        </w:rPr>
      </w:pPr>
      <w:r w:rsidRPr="00B21078">
        <w:rPr>
          <w:rFonts w:ascii="Garamond" w:hAnsi="Garamond"/>
        </w:rPr>
        <w:t xml:space="preserve">Does public opinion restrain or inflame interstate conflict? Will publics rally behind leaders that choose to escalate, punish leaders that de-escalate, or listen to leaders who offer justifications for less dangerous paths? </w:t>
      </w:r>
      <w:r w:rsidR="002744FB">
        <w:rPr>
          <w:rFonts w:ascii="Garamond" w:hAnsi="Garamond"/>
        </w:rPr>
        <w:t>D</w:t>
      </w:r>
      <w:r w:rsidRPr="00B21078">
        <w:rPr>
          <w:rFonts w:ascii="Garamond" w:hAnsi="Garamond"/>
        </w:rPr>
        <w:t xml:space="preserve">o </w:t>
      </w:r>
      <w:r w:rsidR="00003F8B">
        <w:rPr>
          <w:rFonts w:ascii="Garamond" w:hAnsi="Garamond"/>
        </w:rPr>
        <w:t>the answers to</w:t>
      </w:r>
      <w:r w:rsidRPr="00B21078">
        <w:rPr>
          <w:rFonts w:ascii="Garamond" w:hAnsi="Garamond"/>
        </w:rPr>
        <w:t xml:space="preserve"> these </w:t>
      </w:r>
      <w:r w:rsidR="00485B8F">
        <w:rPr>
          <w:rFonts w:ascii="Garamond" w:hAnsi="Garamond"/>
        </w:rPr>
        <w:t>questions</w:t>
      </w:r>
      <w:r w:rsidR="00485B8F" w:rsidRPr="00B21078">
        <w:rPr>
          <w:rFonts w:ascii="Garamond" w:hAnsi="Garamond"/>
        </w:rPr>
        <w:t xml:space="preserve"> </w:t>
      </w:r>
      <w:r w:rsidRPr="00B21078">
        <w:rPr>
          <w:rFonts w:ascii="Garamond" w:hAnsi="Garamond"/>
        </w:rPr>
        <w:t xml:space="preserve">vary depending on the </w:t>
      </w:r>
      <w:r w:rsidR="006F2967">
        <w:rPr>
          <w:rFonts w:ascii="Garamond" w:hAnsi="Garamond"/>
        </w:rPr>
        <w:t xml:space="preserve">type </w:t>
      </w:r>
      <w:r w:rsidR="009C74A8">
        <w:rPr>
          <w:rFonts w:ascii="Garamond" w:hAnsi="Garamond"/>
        </w:rPr>
        <w:t xml:space="preserve">of leader and </w:t>
      </w:r>
      <w:r w:rsidR="002744FB">
        <w:rPr>
          <w:rFonts w:ascii="Garamond" w:hAnsi="Garamond"/>
        </w:rPr>
        <w:t xml:space="preserve">the </w:t>
      </w:r>
      <w:r w:rsidRPr="00B21078">
        <w:rPr>
          <w:rFonts w:ascii="Garamond" w:hAnsi="Garamond"/>
        </w:rPr>
        <w:t xml:space="preserve">political institutions that channel public opinion? These questions sit at the heart of an active and vibrant research agenda that seeks to assess the nature and severity of </w:t>
      </w:r>
      <w:r w:rsidR="00502B77">
        <w:rPr>
          <w:rFonts w:ascii="Garamond" w:hAnsi="Garamond"/>
        </w:rPr>
        <w:t>popular pressures for conflict</w:t>
      </w:r>
      <w:r w:rsidRPr="00B21078">
        <w:rPr>
          <w:rFonts w:ascii="Garamond" w:hAnsi="Garamond"/>
        </w:rPr>
        <w:t>.</w:t>
      </w:r>
      <w:r w:rsidR="003C5958">
        <w:rPr>
          <w:rFonts w:ascii="Garamond" w:hAnsi="Garamond"/>
        </w:rPr>
        <w:t xml:space="preserve"> </w:t>
      </w:r>
      <w:r w:rsidR="00E509AD">
        <w:rPr>
          <w:rFonts w:ascii="Garamond" w:hAnsi="Garamond"/>
        </w:rPr>
        <w:t>Using data from</w:t>
      </w:r>
      <w:r w:rsidR="00D5148B" w:rsidRPr="00B21078">
        <w:rPr>
          <w:rFonts w:ascii="Garamond" w:hAnsi="Garamond"/>
        </w:rPr>
        <w:t xml:space="preserve"> a survey experiment of 1,823 respondents fielded in Pakistan’s Punjab province </w:t>
      </w:r>
      <w:r w:rsidR="008842A6">
        <w:rPr>
          <w:rFonts w:ascii="Garamond" w:hAnsi="Garamond"/>
        </w:rPr>
        <w:t>from</w:t>
      </w:r>
      <w:r w:rsidR="008842A6" w:rsidRPr="00B21078">
        <w:rPr>
          <w:rFonts w:ascii="Garamond" w:hAnsi="Garamond"/>
        </w:rPr>
        <w:t xml:space="preserve"> </w:t>
      </w:r>
      <w:r w:rsidR="00FD34CC" w:rsidRPr="00B21078">
        <w:rPr>
          <w:rFonts w:ascii="Garamond" w:hAnsi="Garamond"/>
        </w:rPr>
        <w:t>January</w:t>
      </w:r>
      <w:r w:rsidR="003472BF" w:rsidRPr="00B21078">
        <w:rPr>
          <w:rFonts w:ascii="Garamond" w:hAnsi="Garamond"/>
        </w:rPr>
        <w:t xml:space="preserve"> to February</w:t>
      </w:r>
      <w:r w:rsidR="00D5148B" w:rsidRPr="00B21078">
        <w:rPr>
          <w:rFonts w:ascii="Garamond" w:hAnsi="Garamond"/>
        </w:rPr>
        <w:t xml:space="preserve"> 2018</w:t>
      </w:r>
      <w:r w:rsidR="00C64BB1">
        <w:rPr>
          <w:rFonts w:ascii="Garamond" w:hAnsi="Garamond"/>
        </w:rPr>
        <w:t xml:space="preserve">, this paper </w:t>
      </w:r>
      <w:r w:rsidR="003A3ABD">
        <w:rPr>
          <w:rFonts w:ascii="Garamond" w:hAnsi="Garamond"/>
        </w:rPr>
        <w:t>offers</w:t>
      </w:r>
      <w:r w:rsidR="00D5148B" w:rsidRPr="00B21078">
        <w:rPr>
          <w:rFonts w:ascii="Garamond" w:hAnsi="Garamond"/>
        </w:rPr>
        <w:t xml:space="preserve"> </w:t>
      </w:r>
      <w:r w:rsidR="003A3ABD">
        <w:rPr>
          <w:rFonts w:ascii="Garamond" w:hAnsi="Garamond"/>
        </w:rPr>
        <w:t>s</w:t>
      </w:r>
      <w:r w:rsidR="003A3ABD" w:rsidRPr="00B21078">
        <w:rPr>
          <w:rFonts w:ascii="Garamond" w:hAnsi="Garamond"/>
        </w:rPr>
        <w:t>obering results that suggest clear public support for escalating rather than de-escalating a</w:t>
      </w:r>
      <w:r w:rsidR="000D1CE5">
        <w:rPr>
          <w:rFonts w:ascii="Garamond" w:hAnsi="Garamond"/>
        </w:rPr>
        <w:t>n unfolding</w:t>
      </w:r>
      <w:r w:rsidR="003A3ABD" w:rsidRPr="00B21078">
        <w:rPr>
          <w:rFonts w:ascii="Garamond" w:hAnsi="Garamond"/>
        </w:rPr>
        <w:t xml:space="preserve"> crisis. While we demonstrate that leaders can mitigate the costs of de-escalati</w:t>
      </w:r>
      <w:r w:rsidR="000D1CE5">
        <w:rPr>
          <w:rFonts w:ascii="Garamond" w:hAnsi="Garamond"/>
        </w:rPr>
        <w:t>on</w:t>
      </w:r>
      <w:r w:rsidR="003A3ABD" w:rsidRPr="00B21078">
        <w:rPr>
          <w:rFonts w:ascii="Garamond" w:hAnsi="Garamond"/>
        </w:rPr>
        <w:t xml:space="preserve"> by pointing to the dangers of conflict, they still </w:t>
      </w:r>
      <w:r w:rsidR="003325E4">
        <w:rPr>
          <w:rFonts w:ascii="Garamond" w:hAnsi="Garamond"/>
        </w:rPr>
        <w:t>incur</w:t>
      </w:r>
      <w:r w:rsidR="003325E4" w:rsidRPr="00B21078">
        <w:rPr>
          <w:rFonts w:ascii="Garamond" w:hAnsi="Garamond"/>
        </w:rPr>
        <w:t xml:space="preserve"> </w:t>
      </w:r>
      <w:r w:rsidR="003A3ABD" w:rsidRPr="00B21078">
        <w:rPr>
          <w:rFonts w:ascii="Garamond" w:hAnsi="Garamond"/>
        </w:rPr>
        <w:t xml:space="preserve">a substantial </w:t>
      </w:r>
      <w:r w:rsidR="009477DF">
        <w:rPr>
          <w:rFonts w:ascii="Garamond" w:hAnsi="Garamond"/>
        </w:rPr>
        <w:t>opportunity cost</w:t>
      </w:r>
      <w:r w:rsidR="003A3ABD" w:rsidRPr="00B21078">
        <w:rPr>
          <w:rFonts w:ascii="Garamond" w:hAnsi="Garamond"/>
        </w:rPr>
        <w:t xml:space="preserve"> in public support when they opt to de-escalate rather than escalate. </w:t>
      </w:r>
      <w:r w:rsidR="00036B2E">
        <w:rPr>
          <w:rFonts w:ascii="Garamond" w:hAnsi="Garamond"/>
        </w:rPr>
        <w:t>This observation helps to</w:t>
      </w:r>
      <w:r w:rsidR="003A3ABD">
        <w:rPr>
          <w:rFonts w:ascii="Garamond" w:hAnsi="Garamond"/>
        </w:rPr>
        <w:t xml:space="preserve"> illuminate the public opinion consequences of adversary provocation</w:t>
      </w:r>
      <w:r w:rsidR="00CF1C34">
        <w:rPr>
          <w:rFonts w:ascii="Garamond" w:hAnsi="Garamond"/>
        </w:rPr>
        <w:t>,</w:t>
      </w:r>
      <w:r w:rsidR="003A3ABD">
        <w:rPr>
          <w:rFonts w:ascii="Garamond" w:hAnsi="Garamond"/>
        </w:rPr>
        <w:t xml:space="preserve"> which can generate incentives for conflict typically ignored in traditi</w:t>
      </w:r>
      <w:r w:rsidR="0046335E">
        <w:rPr>
          <w:rFonts w:ascii="Garamond" w:hAnsi="Garamond"/>
        </w:rPr>
        <w:t>onal crisis bargaining models</w:t>
      </w:r>
      <w:r w:rsidR="009F2201">
        <w:rPr>
          <w:rFonts w:ascii="Garamond" w:hAnsi="Garamond"/>
        </w:rPr>
        <w:t xml:space="preserve"> (s</w:t>
      </w:r>
      <w:r w:rsidR="009F2201" w:rsidRPr="0057038A">
        <w:rPr>
          <w:rFonts w:ascii="Garamond" w:hAnsi="Garamond"/>
        </w:rPr>
        <w:t>ee Cho 2017; Dafoe, Hatz, and Zhang 2017; Hall 2017; Cho 2018; Dafoe and Weiss 2018</w:t>
      </w:r>
      <w:r w:rsidR="009F2201">
        <w:rPr>
          <w:rFonts w:ascii="Garamond" w:hAnsi="Garamond"/>
        </w:rPr>
        <w:t>)</w:t>
      </w:r>
      <w:r w:rsidR="0046335E">
        <w:rPr>
          <w:rFonts w:ascii="Garamond" w:hAnsi="Garamond"/>
        </w:rPr>
        <w:t xml:space="preserve">. </w:t>
      </w:r>
    </w:p>
    <w:p w14:paraId="61D1F755" w14:textId="69D43F08" w:rsidR="00D5148B" w:rsidRPr="00B21078" w:rsidRDefault="0046335E">
      <w:pPr>
        <w:spacing w:line="480" w:lineRule="auto"/>
        <w:ind w:firstLine="720"/>
        <w:rPr>
          <w:rFonts w:ascii="Garamond" w:hAnsi="Garamond"/>
        </w:rPr>
      </w:pPr>
      <w:r>
        <w:rPr>
          <w:rFonts w:ascii="Garamond" w:hAnsi="Garamond"/>
        </w:rPr>
        <w:t>Our paper</w:t>
      </w:r>
      <w:r w:rsidR="00A43B78" w:rsidRPr="00B21078">
        <w:rPr>
          <w:rFonts w:ascii="Garamond" w:hAnsi="Garamond"/>
        </w:rPr>
        <w:t xml:space="preserve"> advances </w:t>
      </w:r>
      <w:r w:rsidR="009F1BC5" w:rsidRPr="00B21078">
        <w:rPr>
          <w:rFonts w:ascii="Garamond" w:hAnsi="Garamond"/>
        </w:rPr>
        <w:t>a</w:t>
      </w:r>
      <w:r w:rsidR="002744FB">
        <w:rPr>
          <w:rFonts w:ascii="Garamond" w:hAnsi="Garamond"/>
        </w:rPr>
        <w:t>n emerging</w:t>
      </w:r>
      <w:r w:rsidR="009F1BC5" w:rsidRPr="00B21078">
        <w:rPr>
          <w:rFonts w:ascii="Garamond" w:hAnsi="Garamond"/>
        </w:rPr>
        <w:t xml:space="preserve"> research agenda</w:t>
      </w:r>
      <w:r w:rsidR="003325E4">
        <w:rPr>
          <w:rFonts w:ascii="Garamond" w:hAnsi="Garamond"/>
        </w:rPr>
        <w:t>,</w:t>
      </w:r>
      <w:r w:rsidR="00A43B78" w:rsidRPr="00B21078">
        <w:rPr>
          <w:rFonts w:ascii="Garamond" w:hAnsi="Garamond"/>
        </w:rPr>
        <w:t xml:space="preserve"> </w:t>
      </w:r>
      <w:r w:rsidR="006F2967">
        <w:rPr>
          <w:rFonts w:ascii="Garamond" w:hAnsi="Garamond"/>
        </w:rPr>
        <w:t xml:space="preserve">which </w:t>
      </w:r>
      <w:r w:rsidR="00A43B78" w:rsidRPr="00B21078">
        <w:rPr>
          <w:rFonts w:ascii="Garamond" w:hAnsi="Garamond"/>
        </w:rPr>
        <w:t>offer</w:t>
      </w:r>
      <w:r w:rsidR="00975577">
        <w:rPr>
          <w:rFonts w:ascii="Garamond" w:hAnsi="Garamond"/>
        </w:rPr>
        <w:t>s</w:t>
      </w:r>
      <w:r w:rsidR="00A43B78" w:rsidRPr="00B21078">
        <w:rPr>
          <w:rFonts w:ascii="Garamond" w:hAnsi="Garamond"/>
        </w:rPr>
        <w:t xml:space="preserve"> survey and experimental evidence of public opinions toward crisis behavior outside of the U.S. context</w:t>
      </w:r>
      <w:r w:rsidR="009F2201">
        <w:rPr>
          <w:rFonts w:ascii="Garamond" w:hAnsi="Garamond"/>
        </w:rPr>
        <w:t xml:space="preserve"> (</w:t>
      </w:r>
      <w:r w:rsidR="009F2201" w:rsidRPr="0057038A">
        <w:rPr>
          <w:rFonts w:ascii="Garamond" w:hAnsi="Garamond"/>
        </w:rPr>
        <w:t>Berinsky, Quek, and Sances 2012; Davies and Johns 2013; Driscoll and Maliniak 2016; Quek and Johnston 2017; Dafoe and</w:t>
      </w:r>
      <w:r w:rsidR="009F2201">
        <w:rPr>
          <w:rFonts w:ascii="Garamond" w:hAnsi="Garamond"/>
        </w:rPr>
        <w:t xml:space="preserve"> Weiss 2018; Bell and Quek 2018)</w:t>
      </w:r>
      <w:r w:rsidR="00A43B78" w:rsidRPr="00B21078">
        <w:rPr>
          <w:rFonts w:ascii="Garamond" w:hAnsi="Garamond"/>
        </w:rPr>
        <w:t xml:space="preserve"> and </w:t>
      </w:r>
      <w:r w:rsidR="005D7E01" w:rsidRPr="00B21078">
        <w:rPr>
          <w:rFonts w:ascii="Garamond" w:hAnsi="Garamond"/>
        </w:rPr>
        <w:t xml:space="preserve">is </w:t>
      </w:r>
      <w:r w:rsidR="00A43B78" w:rsidRPr="00B21078">
        <w:rPr>
          <w:rFonts w:ascii="Garamond" w:hAnsi="Garamond"/>
        </w:rPr>
        <w:t xml:space="preserve">the first </w:t>
      </w:r>
      <w:r w:rsidR="005D7E01" w:rsidRPr="00B21078">
        <w:rPr>
          <w:rFonts w:ascii="Garamond" w:hAnsi="Garamond"/>
        </w:rPr>
        <w:t xml:space="preserve">attempt </w:t>
      </w:r>
      <w:r w:rsidR="00A43B78" w:rsidRPr="00B21078">
        <w:rPr>
          <w:rFonts w:ascii="Garamond" w:hAnsi="Garamond"/>
        </w:rPr>
        <w:t>to do so in Pakistan</w:t>
      </w:r>
      <w:r w:rsidR="00F647CE" w:rsidRPr="00B21078">
        <w:rPr>
          <w:rFonts w:ascii="Garamond" w:hAnsi="Garamond"/>
        </w:rPr>
        <w:t>, a weakly institutionalized democracy</w:t>
      </w:r>
      <w:r w:rsidR="00247623">
        <w:rPr>
          <w:rFonts w:ascii="Garamond" w:hAnsi="Garamond"/>
        </w:rPr>
        <w:t xml:space="preserve"> </w:t>
      </w:r>
      <w:r w:rsidR="0010798B">
        <w:rPr>
          <w:rFonts w:ascii="Garamond" w:hAnsi="Garamond"/>
        </w:rPr>
        <w:t>of</w:t>
      </w:r>
      <w:r w:rsidR="00247623">
        <w:rPr>
          <w:rFonts w:ascii="Garamond" w:hAnsi="Garamond"/>
        </w:rPr>
        <w:t xml:space="preserve"> </w:t>
      </w:r>
      <w:r w:rsidR="00A43B78" w:rsidRPr="00B21078">
        <w:rPr>
          <w:rFonts w:ascii="Garamond" w:hAnsi="Garamond"/>
        </w:rPr>
        <w:t>considerable theoretical and substantive importance.</w:t>
      </w:r>
      <w:r w:rsidR="00B34232">
        <w:rPr>
          <w:rStyle w:val="FootnoteReference"/>
          <w:rFonts w:ascii="Garamond" w:hAnsi="Garamond"/>
        </w:rPr>
        <w:footnoteReference w:customMarkFollows="1" w:id="2"/>
        <w:t>1</w:t>
      </w:r>
      <w:r w:rsidR="00A43B78" w:rsidRPr="00B21078">
        <w:rPr>
          <w:rFonts w:ascii="Garamond" w:hAnsi="Garamond"/>
        </w:rPr>
        <w:t xml:space="preserve"> </w:t>
      </w:r>
      <w:r w:rsidR="00390247">
        <w:rPr>
          <w:rFonts w:ascii="Garamond" w:hAnsi="Garamond"/>
        </w:rPr>
        <w:t xml:space="preserve">Pakistan is </w:t>
      </w:r>
      <w:r w:rsidR="00D5148B" w:rsidRPr="00B21078">
        <w:rPr>
          <w:rFonts w:ascii="Garamond" w:hAnsi="Garamond"/>
        </w:rPr>
        <w:t>formally coded as a democracy under most classification schemes</w:t>
      </w:r>
      <w:r w:rsidR="004A716B" w:rsidRPr="00B21078">
        <w:rPr>
          <w:rFonts w:ascii="Garamond" w:hAnsi="Garamond"/>
        </w:rPr>
        <w:t xml:space="preserve"> whenever </w:t>
      </w:r>
      <w:r w:rsidR="00390247">
        <w:rPr>
          <w:rFonts w:ascii="Garamond" w:hAnsi="Garamond"/>
        </w:rPr>
        <w:t>it</w:t>
      </w:r>
      <w:r w:rsidR="00390247" w:rsidRPr="00B21078">
        <w:rPr>
          <w:rFonts w:ascii="Garamond" w:hAnsi="Garamond"/>
        </w:rPr>
        <w:t xml:space="preserve"> </w:t>
      </w:r>
      <w:r w:rsidR="004A716B" w:rsidRPr="00B21078">
        <w:rPr>
          <w:rFonts w:ascii="Garamond" w:hAnsi="Garamond"/>
        </w:rPr>
        <w:t>has had a popularly</w:t>
      </w:r>
      <w:r w:rsidR="00D5148B" w:rsidRPr="00B21078">
        <w:rPr>
          <w:rFonts w:ascii="Garamond" w:hAnsi="Garamond"/>
        </w:rPr>
        <w:t xml:space="preserve"> elected ci</w:t>
      </w:r>
      <w:r w:rsidR="00751956" w:rsidRPr="00B21078">
        <w:rPr>
          <w:rFonts w:ascii="Garamond" w:hAnsi="Garamond"/>
        </w:rPr>
        <w:t>vilian prime minister</w:t>
      </w:r>
      <w:r w:rsidR="009F2201">
        <w:rPr>
          <w:rFonts w:ascii="Garamond" w:hAnsi="Garamond"/>
        </w:rPr>
        <w:t xml:space="preserve"> (</w:t>
      </w:r>
      <w:r w:rsidR="009F2201" w:rsidRPr="0057038A">
        <w:rPr>
          <w:rFonts w:ascii="Garamond" w:hAnsi="Garamond"/>
        </w:rPr>
        <w:t xml:space="preserve">Marshall, Gurr, and Jaggers 2017; Cheibub, Gandhi, and Vreeland </w:t>
      </w:r>
      <w:r w:rsidR="009F2201" w:rsidRPr="0057038A">
        <w:rPr>
          <w:rFonts w:ascii="Garamond" w:hAnsi="Garamond"/>
        </w:rPr>
        <w:lastRenderedPageBreak/>
        <w:t>2010; Boix, Miller, and Rosato</w:t>
      </w:r>
      <w:r w:rsidR="009F2201">
        <w:rPr>
          <w:rFonts w:ascii="Garamond" w:hAnsi="Garamond"/>
        </w:rPr>
        <w:t xml:space="preserve"> 2013; Ulfelder and Lustik 2007)</w:t>
      </w:r>
      <w:r w:rsidR="00247623">
        <w:rPr>
          <w:rFonts w:ascii="Garamond" w:hAnsi="Garamond"/>
        </w:rPr>
        <w:t xml:space="preserve">. </w:t>
      </w:r>
      <w:r w:rsidR="008842A6">
        <w:rPr>
          <w:rFonts w:ascii="Garamond" w:hAnsi="Garamond"/>
        </w:rPr>
        <w:t xml:space="preserve">Yet, </w:t>
      </w:r>
      <w:r w:rsidR="00390247">
        <w:rPr>
          <w:rFonts w:ascii="Garamond" w:hAnsi="Garamond"/>
        </w:rPr>
        <w:t>it nonetheless</w:t>
      </w:r>
      <w:r w:rsidR="00390247" w:rsidRPr="00B21078">
        <w:rPr>
          <w:rFonts w:ascii="Garamond" w:hAnsi="Garamond"/>
        </w:rPr>
        <w:t xml:space="preserve"> </w:t>
      </w:r>
      <w:r w:rsidR="00D5148B" w:rsidRPr="00B21078">
        <w:rPr>
          <w:rFonts w:ascii="Garamond" w:hAnsi="Garamond"/>
        </w:rPr>
        <w:t xml:space="preserve">exhibits many characteristics of a </w:t>
      </w:r>
      <w:r w:rsidR="00177277" w:rsidRPr="00B21078">
        <w:rPr>
          <w:rFonts w:ascii="Garamond" w:hAnsi="Garamond"/>
        </w:rPr>
        <w:t>“</w:t>
      </w:r>
      <w:r w:rsidR="00D5148B" w:rsidRPr="00B21078">
        <w:rPr>
          <w:rFonts w:ascii="Garamond" w:hAnsi="Garamond"/>
        </w:rPr>
        <w:t>hybrid regime</w:t>
      </w:r>
      <w:r w:rsidR="00177277" w:rsidRPr="00B21078">
        <w:rPr>
          <w:rFonts w:ascii="Garamond" w:hAnsi="Garamond"/>
        </w:rPr>
        <w:t>”</w:t>
      </w:r>
      <w:r w:rsidR="009F2201">
        <w:rPr>
          <w:rFonts w:ascii="Garamond" w:hAnsi="Garamond"/>
        </w:rPr>
        <w:t xml:space="preserve"> (</w:t>
      </w:r>
      <w:r w:rsidR="009F2201" w:rsidRPr="0057038A">
        <w:rPr>
          <w:rFonts w:ascii="Garamond" w:hAnsi="Garamond"/>
        </w:rPr>
        <w:t>Karl 1995; Collier and Levitsky 1997</w:t>
      </w:r>
      <w:r w:rsidR="009F2201">
        <w:rPr>
          <w:rFonts w:ascii="Garamond" w:hAnsi="Garamond"/>
        </w:rPr>
        <w:t>)</w:t>
      </w:r>
      <w:r w:rsidR="00D5148B" w:rsidRPr="00B21078">
        <w:rPr>
          <w:rFonts w:ascii="Garamond" w:hAnsi="Garamond"/>
        </w:rPr>
        <w:t xml:space="preserve"> given the large role the </w:t>
      </w:r>
      <w:r w:rsidR="00177277" w:rsidRPr="00B21078">
        <w:rPr>
          <w:rFonts w:ascii="Garamond" w:hAnsi="Garamond"/>
        </w:rPr>
        <w:t xml:space="preserve">Pakistan </w:t>
      </w:r>
      <w:r w:rsidR="00D5148B" w:rsidRPr="00B21078">
        <w:rPr>
          <w:rFonts w:ascii="Garamond" w:hAnsi="Garamond"/>
        </w:rPr>
        <w:t>Army plays in politics</w:t>
      </w:r>
      <w:r w:rsidR="009F2201">
        <w:rPr>
          <w:rFonts w:ascii="Garamond" w:hAnsi="Garamond"/>
        </w:rPr>
        <w:t xml:space="preserve"> (</w:t>
      </w:r>
      <w:r w:rsidR="009F2201" w:rsidRPr="0057038A">
        <w:rPr>
          <w:rFonts w:ascii="Garamond" w:hAnsi="Garamond"/>
        </w:rPr>
        <w:t>Fair 2014; Shah 2014</w:t>
      </w:r>
      <w:r w:rsidR="009F2201">
        <w:rPr>
          <w:rFonts w:ascii="Garamond" w:hAnsi="Garamond"/>
        </w:rPr>
        <w:t>)</w:t>
      </w:r>
      <w:r w:rsidR="004A716B" w:rsidRPr="00B21078">
        <w:rPr>
          <w:rFonts w:ascii="Garamond" w:hAnsi="Garamond"/>
        </w:rPr>
        <w:t xml:space="preserve"> even during periods of civilian-led governance</w:t>
      </w:r>
      <w:r w:rsidR="00E910BB">
        <w:rPr>
          <w:rFonts w:ascii="Garamond" w:hAnsi="Garamond"/>
        </w:rPr>
        <w:t xml:space="preserve"> (</w:t>
      </w:r>
      <w:r w:rsidR="00E910BB" w:rsidRPr="0057038A">
        <w:rPr>
          <w:rFonts w:ascii="Garamond" w:hAnsi="Garamond"/>
        </w:rPr>
        <w:t>Adeney 2017</w:t>
      </w:r>
      <w:r w:rsidR="00E910BB">
        <w:rPr>
          <w:rFonts w:ascii="Garamond" w:hAnsi="Garamond"/>
        </w:rPr>
        <w:t>)</w:t>
      </w:r>
      <w:r w:rsidR="00431064">
        <w:rPr>
          <w:rFonts w:ascii="Garamond" w:hAnsi="Garamond"/>
        </w:rPr>
        <w:t>,</w:t>
      </w:r>
      <w:r w:rsidR="00515345">
        <w:rPr>
          <w:rFonts w:ascii="Garamond" w:hAnsi="Garamond"/>
        </w:rPr>
        <w:t xml:space="preserve"> </w:t>
      </w:r>
      <w:r w:rsidR="0054525E">
        <w:rPr>
          <w:rFonts w:ascii="Garamond" w:hAnsi="Garamond"/>
        </w:rPr>
        <w:t xml:space="preserve">and </w:t>
      </w:r>
      <w:r w:rsidR="004A716B" w:rsidRPr="00B21078">
        <w:rPr>
          <w:rFonts w:ascii="Garamond" w:hAnsi="Garamond"/>
        </w:rPr>
        <w:t>especially in “reserved domains”</w:t>
      </w:r>
      <w:r w:rsidR="00E910BB">
        <w:rPr>
          <w:rFonts w:ascii="Garamond" w:hAnsi="Garamond"/>
        </w:rPr>
        <w:t xml:space="preserve"> (</w:t>
      </w:r>
      <w:r w:rsidR="00E910BB" w:rsidRPr="0057038A">
        <w:rPr>
          <w:rFonts w:ascii="Garamond" w:hAnsi="Garamond"/>
        </w:rPr>
        <w:t>Valenzuela 1992</w:t>
      </w:r>
      <w:r w:rsidR="00E910BB">
        <w:rPr>
          <w:rFonts w:ascii="Garamond" w:hAnsi="Garamond"/>
        </w:rPr>
        <w:t>)</w:t>
      </w:r>
      <w:r w:rsidR="004A716B" w:rsidRPr="00B21078">
        <w:rPr>
          <w:rFonts w:ascii="Garamond" w:hAnsi="Garamond"/>
        </w:rPr>
        <w:t xml:space="preserve"> of Army influence over national security policy</w:t>
      </w:r>
      <w:r w:rsidR="00D5148B" w:rsidRPr="00B21078">
        <w:rPr>
          <w:rFonts w:ascii="Garamond" w:hAnsi="Garamond"/>
        </w:rPr>
        <w:t xml:space="preserve">. </w:t>
      </w:r>
      <w:r w:rsidR="009F1BC5" w:rsidRPr="00B21078">
        <w:rPr>
          <w:rFonts w:ascii="Garamond" w:hAnsi="Garamond"/>
        </w:rPr>
        <w:t>Such hybrid or transitional regimes may be especially dangerous given weak political institutions</w:t>
      </w:r>
      <w:r w:rsidR="00E910BB">
        <w:rPr>
          <w:rFonts w:ascii="Garamond" w:hAnsi="Garamond"/>
        </w:rPr>
        <w:t xml:space="preserve"> (</w:t>
      </w:r>
      <w:r w:rsidR="00E910BB" w:rsidRPr="0057038A">
        <w:rPr>
          <w:rFonts w:ascii="Garamond" w:hAnsi="Garamond"/>
        </w:rPr>
        <w:t>Mansfield and Snyder 2007</w:t>
      </w:r>
      <w:r w:rsidR="00E910BB">
        <w:rPr>
          <w:rFonts w:ascii="Garamond" w:hAnsi="Garamond"/>
        </w:rPr>
        <w:t>)</w:t>
      </w:r>
      <w:r w:rsidR="009F1BC5" w:rsidRPr="00B21078">
        <w:rPr>
          <w:rFonts w:ascii="Garamond" w:hAnsi="Garamond"/>
        </w:rPr>
        <w:t xml:space="preserve">. </w:t>
      </w:r>
      <w:r w:rsidR="004A716B" w:rsidRPr="00B21078">
        <w:rPr>
          <w:rFonts w:ascii="Garamond" w:hAnsi="Garamond"/>
        </w:rPr>
        <w:t>Pakistan’s substantive importance—</w:t>
      </w:r>
      <w:r w:rsidR="008842A6">
        <w:rPr>
          <w:rFonts w:ascii="Garamond" w:hAnsi="Garamond"/>
        </w:rPr>
        <w:t xml:space="preserve">as </w:t>
      </w:r>
      <w:r w:rsidR="004A716B" w:rsidRPr="00B21078">
        <w:rPr>
          <w:rFonts w:ascii="Garamond" w:hAnsi="Garamond"/>
        </w:rPr>
        <w:t xml:space="preserve">the world’s fifth-most populous country </w:t>
      </w:r>
      <w:r w:rsidR="003472BF" w:rsidRPr="00B21078">
        <w:rPr>
          <w:rFonts w:ascii="Garamond" w:hAnsi="Garamond"/>
        </w:rPr>
        <w:t xml:space="preserve">and </w:t>
      </w:r>
      <w:r w:rsidR="004A716B" w:rsidRPr="00B21078">
        <w:rPr>
          <w:rFonts w:ascii="Garamond" w:hAnsi="Garamond"/>
        </w:rPr>
        <w:t>likely possessing over one hundred nuclear weapons—interacts with its democratic status. Pakistan’s war with India in 1999 is one of the only wars with over 1,000 battle deaths between two formally democratic states</w:t>
      </w:r>
      <w:r w:rsidR="00E741BB">
        <w:rPr>
          <w:rFonts w:ascii="Garamond" w:hAnsi="Garamond"/>
        </w:rPr>
        <w:t>,</w:t>
      </w:r>
      <w:r w:rsidR="001C6D0E" w:rsidRPr="00B21078">
        <w:rPr>
          <w:rFonts w:ascii="Garamond" w:hAnsi="Garamond"/>
        </w:rPr>
        <w:t xml:space="preserve"> while also being </w:t>
      </w:r>
      <w:r w:rsidR="009952E2">
        <w:rPr>
          <w:rFonts w:ascii="Garamond" w:hAnsi="Garamond"/>
        </w:rPr>
        <w:t xml:space="preserve">one of </w:t>
      </w:r>
      <w:r w:rsidR="001C6D0E" w:rsidRPr="00B21078">
        <w:rPr>
          <w:rFonts w:ascii="Garamond" w:hAnsi="Garamond"/>
        </w:rPr>
        <w:t>the only direct conflict</w:t>
      </w:r>
      <w:r w:rsidR="009952E2">
        <w:rPr>
          <w:rFonts w:ascii="Garamond" w:hAnsi="Garamond"/>
        </w:rPr>
        <w:t>s</w:t>
      </w:r>
      <w:r w:rsidR="001C6D0E" w:rsidRPr="00B21078">
        <w:rPr>
          <w:rFonts w:ascii="Garamond" w:hAnsi="Garamond"/>
        </w:rPr>
        <w:t xml:space="preserve"> of such scale between nuclear-armed adversaries, posing important challenges to theories of democratic and nuclear peace. </w:t>
      </w:r>
      <w:r w:rsidR="004A716B" w:rsidRPr="00B21078">
        <w:rPr>
          <w:rFonts w:ascii="Garamond" w:hAnsi="Garamond"/>
        </w:rPr>
        <w:t xml:space="preserve">  </w:t>
      </w:r>
      <w:r w:rsidR="00D5148B" w:rsidRPr="00B21078">
        <w:rPr>
          <w:rFonts w:ascii="Garamond" w:hAnsi="Garamond"/>
        </w:rPr>
        <w:t xml:space="preserve">   </w:t>
      </w:r>
    </w:p>
    <w:p w14:paraId="05182199" w14:textId="2B136C35" w:rsidR="00CF020D" w:rsidRPr="00B21078" w:rsidRDefault="007637C6">
      <w:pPr>
        <w:spacing w:line="480" w:lineRule="auto"/>
        <w:ind w:firstLine="720"/>
        <w:rPr>
          <w:rFonts w:ascii="Garamond" w:hAnsi="Garamond"/>
        </w:rPr>
      </w:pPr>
      <w:r>
        <w:rPr>
          <w:rFonts w:ascii="Garamond" w:hAnsi="Garamond"/>
        </w:rPr>
        <w:t xml:space="preserve">India-Pakistan relations are characterized by a high-level of background violence. The Indian government claims—with considerable supporting evidence—that much terrorist </w:t>
      </w:r>
      <w:r w:rsidR="007A3789">
        <w:rPr>
          <w:rFonts w:ascii="Garamond" w:hAnsi="Garamond"/>
        </w:rPr>
        <w:t>activity</w:t>
      </w:r>
      <w:r>
        <w:rPr>
          <w:rFonts w:ascii="Garamond" w:hAnsi="Garamond"/>
        </w:rPr>
        <w:t xml:space="preserve"> in India, especially</w:t>
      </w:r>
      <w:r w:rsidR="000D1CE5">
        <w:rPr>
          <w:rFonts w:ascii="Garamond" w:hAnsi="Garamond"/>
        </w:rPr>
        <w:t xml:space="preserve"> in</w:t>
      </w:r>
      <w:r>
        <w:rPr>
          <w:rFonts w:ascii="Garamond" w:hAnsi="Garamond"/>
        </w:rPr>
        <w:t xml:space="preserve"> the disputed territory of Kashmir, is conducted by groups or individuals aided and abetted by the Pakistani state. The degree to which the Pakistani state has “cognizance, influence, or control” of a specific terrorist attack varies across groups and over time</w:t>
      </w:r>
      <w:r w:rsidR="00E910BB">
        <w:rPr>
          <w:rFonts w:ascii="Garamond" w:hAnsi="Garamond"/>
        </w:rPr>
        <w:t xml:space="preserve"> (Coll 2018,</w:t>
      </w:r>
      <w:r w:rsidR="00E910BB" w:rsidRPr="0057038A">
        <w:rPr>
          <w:rFonts w:ascii="Garamond" w:hAnsi="Garamond"/>
        </w:rPr>
        <w:t xml:space="preserve"> 290</w:t>
      </w:r>
      <w:r w:rsidR="00E910BB">
        <w:rPr>
          <w:rFonts w:ascii="Garamond" w:hAnsi="Garamond"/>
        </w:rPr>
        <w:t>).</w:t>
      </w:r>
      <w:r>
        <w:rPr>
          <w:rFonts w:ascii="Garamond" w:hAnsi="Garamond"/>
        </w:rPr>
        <w:t xml:space="preserve"> </w:t>
      </w:r>
      <w:r w:rsidR="007A3789">
        <w:rPr>
          <w:rFonts w:ascii="Garamond" w:hAnsi="Garamond"/>
        </w:rPr>
        <w:t xml:space="preserve">Pakistan’s choice </w:t>
      </w:r>
      <w:r w:rsidR="00021B89">
        <w:rPr>
          <w:rFonts w:ascii="Garamond" w:hAnsi="Garamond"/>
        </w:rPr>
        <w:t xml:space="preserve">to support </w:t>
      </w:r>
      <w:r w:rsidR="007A3789">
        <w:rPr>
          <w:rFonts w:ascii="Garamond" w:hAnsi="Garamond"/>
        </w:rPr>
        <w:t xml:space="preserve">proxy violence </w:t>
      </w:r>
      <w:r w:rsidR="006D6D56">
        <w:rPr>
          <w:rFonts w:ascii="Garamond" w:hAnsi="Garamond"/>
        </w:rPr>
        <w:t>means</w:t>
      </w:r>
      <w:r w:rsidR="007A3789">
        <w:rPr>
          <w:rFonts w:ascii="Garamond" w:hAnsi="Garamond"/>
        </w:rPr>
        <w:t xml:space="preserve"> that crises can occur as a result of actions taken with little-to-no deliberation by Pakistani decisionmakers.</w:t>
      </w:r>
      <w:r>
        <w:rPr>
          <w:rFonts w:ascii="Garamond" w:hAnsi="Garamond"/>
        </w:rPr>
        <w:t xml:space="preserve"> O</w:t>
      </w:r>
      <w:r w:rsidR="006C2D3B">
        <w:rPr>
          <w:rFonts w:ascii="Garamond" w:hAnsi="Garamond"/>
        </w:rPr>
        <w:t xml:space="preserve">nce a crisis unfolds, public opinion has the potential to take </w:t>
      </w:r>
      <w:r w:rsidR="000464B0">
        <w:rPr>
          <w:rFonts w:ascii="Garamond" w:hAnsi="Garamond"/>
        </w:rPr>
        <w:t xml:space="preserve">on </w:t>
      </w:r>
      <w:r w:rsidR="006C2D3B">
        <w:rPr>
          <w:rFonts w:ascii="Garamond" w:hAnsi="Garamond"/>
        </w:rPr>
        <w:t>its own</w:t>
      </w:r>
      <w:r w:rsidR="000D1CE5">
        <w:rPr>
          <w:rFonts w:ascii="Garamond" w:hAnsi="Garamond"/>
        </w:rPr>
        <w:t xml:space="preserve"> dynamic</w:t>
      </w:r>
      <w:r w:rsidR="006C2D3B">
        <w:rPr>
          <w:rFonts w:ascii="Garamond" w:hAnsi="Garamond"/>
        </w:rPr>
        <w:t xml:space="preserve">. </w:t>
      </w:r>
      <w:r w:rsidR="00CF020D" w:rsidRPr="00B21078">
        <w:rPr>
          <w:rFonts w:ascii="Garamond" w:hAnsi="Garamond"/>
        </w:rPr>
        <w:t>If the public punish</w:t>
      </w:r>
      <w:r w:rsidR="0054525E">
        <w:rPr>
          <w:rFonts w:ascii="Garamond" w:hAnsi="Garamond"/>
        </w:rPr>
        <w:t>es</w:t>
      </w:r>
      <w:r w:rsidR="00CF020D" w:rsidRPr="00B21078">
        <w:rPr>
          <w:rFonts w:ascii="Garamond" w:hAnsi="Garamond"/>
        </w:rPr>
        <w:t xml:space="preserve"> leaders for not standing up in a crisis, then </w:t>
      </w:r>
      <w:r w:rsidR="00CF020D" w:rsidRPr="001D57F1">
        <w:rPr>
          <w:rFonts w:ascii="Garamond" w:hAnsi="Garamond"/>
        </w:rPr>
        <w:t>any precipitating event is especially dangerous</w:t>
      </w:r>
      <w:r w:rsidR="00CF020D" w:rsidRPr="00B21078">
        <w:rPr>
          <w:rFonts w:ascii="Garamond" w:hAnsi="Garamond"/>
        </w:rPr>
        <w:t xml:space="preserve"> because leaders may proceed down a path </w:t>
      </w:r>
      <w:r w:rsidR="0054525E">
        <w:rPr>
          <w:rFonts w:ascii="Garamond" w:hAnsi="Garamond"/>
        </w:rPr>
        <w:t xml:space="preserve">which </w:t>
      </w:r>
      <w:r w:rsidR="00CF020D" w:rsidRPr="00B21078">
        <w:rPr>
          <w:rFonts w:ascii="Garamond" w:hAnsi="Garamond"/>
        </w:rPr>
        <w:t xml:space="preserve">they believe to be militarily unwise. </w:t>
      </w:r>
      <w:r w:rsidR="0054525E">
        <w:rPr>
          <w:rFonts w:ascii="Garamond" w:hAnsi="Garamond"/>
        </w:rPr>
        <w:t>O</w:t>
      </w:r>
      <w:r w:rsidR="00CF020D" w:rsidRPr="00B21078">
        <w:rPr>
          <w:rFonts w:ascii="Garamond" w:hAnsi="Garamond"/>
        </w:rPr>
        <w:t>n the other hand</w:t>
      </w:r>
      <w:r w:rsidR="00524B7C" w:rsidRPr="00B21078">
        <w:rPr>
          <w:rFonts w:ascii="Garamond" w:hAnsi="Garamond"/>
        </w:rPr>
        <w:t>,</w:t>
      </w:r>
      <w:r w:rsidR="00CF020D" w:rsidRPr="00B21078">
        <w:rPr>
          <w:rFonts w:ascii="Garamond" w:hAnsi="Garamond"/>
        </w:rPr>
        <w:t xml:space="preserve"> </w:t>
      </w:r>
      <w:r w:rsidR="0054525E">
        <w:rPr>
          <w:rFonts w:ascii="Garamond" w:hAnsi="Garamond"/>
        </w:rPr>
        <w:t xml:space="preserve">if </w:t>
      </w:r>
      <w:r w:rsidR="00CF020D" w:rsidRPr="00B21078">
        <w:rPr>
          <w:rFonts w:ascii="Garamond" w:hAnsi="Garamond"/>
        </w:rPr>
        <w:t>the public is willing to accept de-escalation when appropriate</w:t>
      </w:r>
      <w:r w:rsidR="00FD0408">
        <w:rPr>
          <w:rFonts w:ascii="Garamond" w:hAnsi="Garamond"/>
        </w:rPr>
        <w:t>,</w:t>
      </w:r>
      <w:r w:rsidR="007A3789">
        <w:rPr>
          <w:rFonts w:ascii="Garamond" w:hAnsi="Garamond"/>
        </w:rPr>
        <w:t xml:space="preserve"> then </w:t>
      </w:r>
      <w:r w:rsidR="00CF020D" w:rsidRPr="001D57F1">
        <w:rPr>
          <w:rFonts w:ascii="Garamond" w:hAnsi="Garamond"/>
        </w:rPr>
        <w:t xml:space="preserve">leaders have </w:t>
      </w:r>
      <w:r w:rsidR="001D57F1" w:rsidRPr="001D57F1">
        <w:rPr>
          <w:rFonts w:ascii="Garamond" w:hAnsi="Garamond"/>
        </w:rPr>
        <w:t>greater</w:t>
      </w:r>
      <w:r w:rsidR="00CF020D" w:rsidRPr="001D57F1">
        <w:rPr>
          <w:rFonts w:ascii="Garamond" w:hAnsi="Garamond"/>
        </w:rPr>
        <w:t xml:space="preserve"> space to avoid unnecessary conflict</w:t>
      </w:r>
      <w:r w:rsidR="00CF020D" w:rsidRPr="00B21078">
        <w:rPr>
          <w:rFonts w:ascii="Garamond" w:hAnsi="Garamond"/>
        </w:rPr>
        <w:t>.</w:t>
      </w:r>
      <w:r w:rsidR="00CF020D" w:rsidRPr="00B21078">
        <w:rPr>
          <w:rFonts w:ascii="Garamond" w:hAnsi="Garamond"/>
          <w:b/>
        </w:rPr>
        <w:t xml:space="preserve"> </w:t>
      </w:r>
    </w:p>
    <w:p w14:paraId="3945F5F0" w14:textId="016D4EF0" w:rsidR="0054525E" w:rsidRDefault="00E52916">
      <w:pPr>
        <w:spacing w:line="480" w:lineRule="auto"/>
        <w:ind w:firstLine="720"/>
        <w:rPr>
          <w:rFonts w:ascii="Garamond" w:hAnsi="Garamond"/>
        </w:rPr>
      </w:pPr>
      <w:r w:rsidRPr="00B21078">
        <w:rPr>
          <w:rFonts w:ascii="Garamond" w:hAnsi="Garamond"/>
        </w:rPr>
        <w:t>Our experiment</w:t>
      </w:r>
      <w:r w:rsidR="000D1CE5">
        <w:rPr>
          <w:rFonts w:ascii="Garamond" w:hAnsi="Garamond"/>
        </w:rPr>
        <w:t xml:space="preserve"> sought to answer three questions</w:t>
      </w:r>
      <w:r w:rsidR="008D0803">
        <w:rPr>
          <w:rFonts w:ascii="Garamond" w:hAnsi="Garamond"/>
        </w:rPr>
        <w:t>, and finds clear answers to all three</w:t>
      </w:r>
      <w:r w:rsidR="000D1CE5">
        <w:rPr>
          <w:rFonts w:ascii="Garamond" w:hAnsi="Garamond"/>
        </w:rPr>
        <w:t xml:space="preserve">. </w:t>
      </w:r>
      <w:r w:rsidR="008D0803">
        <w:rPr>
          <w:rFonts w:ascii="Garamond" w:hAnsi="Garamond"/>
        </w:rPr>
        <w:t>First, d</w:t>
      </w:r>
      <w:r w:rsidR="000D1CE5">
        <w:rPr>
          <w:rFonts w:ascii="Garamond" w:hAnsi="Garamond"/>
        </w:rPr>
        <w:t xml:space="preserve">oes the public prefer escalation or de-escalation following adversary provocation? </w:t>
      </w:r>
      <w:r w:rsidR="008D0803">
        <w:rPr>
          <w:rFonts w:ascii="Garamond" w:hAnsi="Garamond"/>
        </w:rPr>
        <w:t>W</w:t>
      </w:r>
      <w:r w:rsidR="008D0803" w:rsidRPr="00B21078">
        <w:rPr>
          <w:rFonts w:ascii="Garamond" w:hAnsi="Garamond"/>
        </w:rPr>
        <w:t xml:space="preserve">e find that </w:t>
      </w:r>
      <w:r w:rsidR="008D0803" w:rsidRPr="00B21078">
        <w:rPr>
          <w:rFonts w:ascii="Garamond" w:hAnsi="Garamond"/>
        </w:rPr>
        <w:lastRenderedPageBreak/>
        <w:t xml:space="preserve">respondents </w:t>
      </w:r>
      <w:r w:rsidR="008D0803">
        <w:rPr>
          <w:rFonts w:ascii="Garamond" w:hAnsi="Garamond"/>
        </w:rPr>
        <w:t xml:space="preserve">are less likely to </w:t>
      </w:r>
      <w:r w:rsidR="008D0803" w:rsidRPr="00B21078">
        <w:rPr>
          <w:rFonts w:ascii="Garamond" w:hAnsi="Garamond"/>
        </w:rPr>
        <w:t>support a political leader when th</w:t>
      </w:r>
      <w:r w:rsidR="008D0803">
        <w:rPr>
          <w:rFonts w:ascii="Garamond" w:hAnsi="Garamond"/>
        </w:rPr>
        <w:t>at</w:t>
      </w:r>
      <w:r w:rsidR="008D0803" w:rsidRPr="00B21078">
        <w:rPr>
          <w:rFonts w:ascii="Garamond" w:hAnsi="Garamond"/>
        </w:rPr>
        <w:t xml:space="preserve"> leader de-escalates </w:t>
      </w:r>
      <w:r w:rsidR="008D0803">
        <w:rPr>
          <w:rFonts w:ascii="Garamond" w:hAnsi="Garamond"/>
        </w:rPr>
        <w:t xml:space="preserve">a crisis </w:t>
      </w:r>
      <w:r w:rsidR="008D0803" w:rsidRPr="00B21078">
        <w:rPr>
          <w:rFonts w:ascii="Garamond" w:hAnsi="Garamond"/>
        </w:rPr>
        <w:t xml:space="preserve">compared to when </w:t>
      </w:r>
      <w:r w:rsidR="008D0803">
        <w:rPr>
          <w:rFonts w:ascii="Garamond" w:hAnsi="Garamond"/>
        </w:rPr>
        <w:t>the leader</w:t>
      </w:r>
      <w:r w:rsidR="008D0803" w:rsidRPr="00B21078">
        <w:rPr>
          <w:rFonts w:ascii="Garamond" w:hAnsi="Garamond"/>
        </w:rPr>
        <w:t xml:space="preserve"> chooses to </w:t>
      </w:r>
      <w:r w:rsidR="008D0803">
        <w:rPr>
          <w:rFonts w:ascii="Garamond" w:hAnsi="Garamond"/>
        </w:rPr>
        <w:t>escalate</w:t>
      </w:r>
      <w:r w:rsidR="008D0803" w:rsidRPr="00B21078">
        <w:rPr>
          <w:rFonts w:ascii="Garamond" w:hAnsi="Garamond"/>
        </w:rPr>
        <w:t xml:space="preserve">. </w:t>
      </w:r>
      <w:r w:rsidR="008D0803">
        <w:rPr>
          <w:rFonts w:ascii="Garamond" w:hAnsi="Garamond"/>
        </w:rPr>
        <w:t>Second, d</w:t>
      </w:r>
      <w:r w:rsidR="000D1CE5">
        <w:rPr>
          <w:rFonts w:ascii="Garamond" w:hAnsi="Garamond"/>
        </w:rPr>
        <w:t xml:space="preserve">oes the public weigh decisions on escalation taken by military or civilian leaders differently? </w:t>
      </w:r>
      <w:r w:rsidR="008D0803">
        <w:rPr>
          <w:rFonts w:ascii="Garamond" w:hAnsi="Garamond"/>
        </w:rPr>
        <w:t>W</w:t>
      </w:r>
      <w:r w:rsidR="008D0803" w:rsidRPr="00B21078">
        <w:rPr>
          <w:rFonts w:ascii="Garamond" w:hAnsi="Garamond"/>
        </w:rPr>
        <w:t xml:space="preserve">e find that respondents are significantly more likely to support escalatory decisions if they are made by a military, rather than civilian, leader, </w:t>
      </w:r>
      <w:r w:rsidR="00F51E8E">
        <w:rPr>
          <w:rFonts w:ascii="Garamond" w:hAnsi="Garamond"/>
        </w:rPr>
        <w:t>al</w:t>
      </w:r>
      <w:r w:rsidR="008D0803" w:rsidRPr="00B21078">
        <w:rPr>
          <w:rFonts w:ascii="Garamond" w:hAnsi="Garamond"/>
        </w:rPr>
        <w:t xml:space="preserve">though we find </w:t>
      </w:r>
      <w:r w:rsidR="008D0803">
        <w:rPr>
          <w:rFonts w:ascii="Garamond" w:hAnsi="Garamond"/>
        </w:rPr>
        <w:t>little</w:t>
      </w:r>
      <w:r w:rsidR="008D0803" w:rsidRPr="00B21078">
        <w:rPr>
          <w:rFonts w:ascii="Garamond" w:hAnsi="Garamond"/>
        </w:rPr>
        <w:t xml:space="preserve"> evidence that military leaders receive more support in de-escalatory decisions than their civilian counterparts.</w:t>
      </w:r>
      <w:r w:rsidR="008D0803">
        <w:rPr>
          <w:rFonts w:ascii="Garamond" w:hAnsi="Garamond"/>
        </w:rPr>
        <w:t xml:space="preserve"> </w:t>
      </w:r>
      <w:r w:rsidR="000D1CE5">
        <w:rPr>
          <w:rFonts w:ascii="Garamond" w:hAnsi="Garamond"/>
        </w:rPr>
        <w:t>And</w:t>
      </w:r>
      <w:r w:rsidR="008D0803">
        <w:rPr>
          <w:rFonts w:ascii="Garamond" w:hAnsi="Garamond"/>
        </w:rPr>
        <w:t>, third,</w:t>
      </w:r>
      <w:r w:rsidR="000D1CE5">
        <w:rPr>
          <w:rFonts w:ascii="Garamond" w:hAnsi="Garamond"/>
        </w:rPr>
        <w:t xml:space="preserve"> can the public be swayed toward greater support for de-escalation by references to the potential costs of conflict? </w:t>
      </w:r>
      <w:r w:rsidR="008D0803">
        <w:rPr>
          <w:rFonts w:ascii="Garamond" w:hAnsi="Garamond"/>
        </w:rPr>
        <w:t>We find</w:t>
      </w:r>
      <w:r w:rsidR="00CF730D" w:rsidRPr="00B21078">
        <w:rPr>
          <w:rFonts w:ascii="Garamond" w:hAnsi="Garamond"/>
        </w:rPr>
        <w:t xml:space="preserve"> </w:t>
      </w:r>
      <w:r w:rsidR="00FD0408">
        <w:rPr>
          <w:rFonts w:ascii="Garamond" w:hAnsi="Garamond"/>
        </w:rPr>
        <w:t xml:space="preserve">that </w:t>
      </w:r>
      <w:r w:rsidR="00CF730D" w:rsidRPr="00B21078">
        <w:rPr>
          <w:rFonts w:ascii="Garamond" w:hAnsi="Garamond"/>
        </w:rPr>
        <w:t xml:space="preserve">respondents base their </w:t>
      </w:r>
      <w:r w:rsidR="00DE626E" w:rsidRPr="00B21078">
        <w:rPr>
          <w:rFonts w:ascii="Garamond" w:hAnsi="Garamond"/>
        </w:rPr>
        <w:t>support in part</w:t>
      </w:r>
      <w:r w:rsidR="00CF730D" w:rsidRPr="00B21078">
        <w:rPr>
          <w:rFonts w:ascii="Garamond" w:hAnsi="Garamond"/>
        </w:rPr>
        <w:t xml:space="preserve"> on the potential justifications that leaders make. In particular, we find that explaining de-escalation by referencing </w:t>
      </w:r>
      <w:r w:rsidR="003472BF" w:rsidRPr="00B21078">
        <w:rPr>
          <w:rFonts w:ascii="Garamond" w:hAnsi="Garamond"/>
        </w:rPr>
        <w:t>either</w:t>
      </w:r>
      <w:r w:rsidR="00CF730D" w:rsidRPr="00B21078">
        <w:rPr>
          <w:rFonts w:ascii="Garamond" w:hAnsi="Garamond"/>
        </w:rPr>
        <w:t xml:space="preserve"> nuclear dangers </w:t>
      </w:r>
      <w:r w:rsidR="003472BF" w:rsidRPr="00B21078">
        <w:rPr>
          <w:rFonts w:ascii="Garamond" w:hAnsi="Garamond"/>
        </w:rPr>
        <w:t>or</w:t>
      </w:r>
      <w:r w:rsidR="00CF730D" w:rsidRPr="00B21078">
        <w:rPr>
          <w:rFonts w:ascii="Garamond" w:hAnsi="Garamond"/>
        </w:rPr>
        <w:t xml:space="preserve"> potential economic </w:t>
      </w:r>
      <w:r w:rsidR="000D1CE5">
        <w:rPr>
          <w:rFonts w:ascii="Garamond" w:hAnsi="Garamond"/>
        </w:rPr>
        <w:t>consequences d</w:t>
      </w:r>
      <w:r w:rsidR="00CF730D" w:rsidRPr="00B21078">
        <w:rPr>
          <w:rFonts w:ascii="Garamond" w:hAnsi="Garamond"/>
        </w:rPr>
        <w:t>ecrease</w:t>
      </w:r>
      <w:r w:rsidR="000F3FFB" w:rsidRPr="00B21078">
        <w:rPr>
          <w:rFonts w:ascii="Garamond" w:hAnsi="Garamond"/>
        </w:rPr>
        <w:t>s</w:t>
      </w:r>
      <w:r w:rsidR="00CF730D" w:rsidRPr="00B21078">
        <w:rPr>
          <w:rFonts w:ascii="Garamond" w:hAnsi="Garamond"/>
        </w:rPr>
        <w:t xml:space="preserve"> </w:t>
      </w:r>
      <w:r w:rsidR="003472BF" w:rsidRPr="00B21078">
        <w:rPr>
          <w:rFonts w:ascii="Garamond" w:hAnsi="Garamond"/>
        </w:rPr>
        <w:t>the</w:t>
      </w:r>
      <w:r w:rsidR="007A3789">
        <w:rPr>
          <w:rFonts w:ascii="Garamond" w:hAnsi="Garamond"/>
        </w:rPr>
        <w:t xml:space="preserve"> </w:t>
      </w:r>
      <w:r w:rsidR="007377C3">
        <w:rPr>
          <w:rFonts w:ascii="Garamond" w:hAnsi="Garamond"/>
        </w:rPr>
        <w:t>opportunity costs</w:t>
      </w:r>
      <w:r w:rsidR="007377C3" w:rsidRPr="00B21078">
        <w:rPr>
          <w:rFonts w:ascii="Garamond" w:hAnsi="Garamond"/>
        </w:rPr>
        <w:t xml:space="preserve"> </w:t>
      </w:r>
      <w:r w:rsidR="000D1CE5">
        <w:rPr>
          <w:rFonts w:ascii="Garamond" w:hAnsi="Garamond"/>
        </w:rPr>
        <w:t>faced</w:t>
      </w:r>
      <w:r w:rsidR="007A3789">
        <w:rPr>
          <w:rFonts w:ascii="Garamond" w:hAnsi="Garamond"/>
        </w:rPr>
        <w:t xml:space="preserve"> by</w:t>
      </w:r>
      <w:r w:rsidR="00CF730D" w:rsidRPr="00B21078">
        <w:rPr>
          <w:rFonts w:ascii="Garamond" w:hAnsi="Garamond"/>
        </w:rPr>
        <w:t xml:space="preserve"> de-escalating leaders</w:t>
      </w:r>
      <w:r w:rsidR="00DE626E" w:rsidRPr="00B21078">
        <w:rPr>
          <w:rFonts w:ascii="Garamond" w:hAnsi="Garamond"/>
        </w:rPr>
        <w:t xml:space="preserve">, though we find no evidence that </w:t>
      </w:r>
      <w:r w:rsidR="00885F08" w:rsidRPr="00B21078">
        <w:rPr>
          <w:rFonts w:ascii="Garamond" w:hAnsi="Garamond"/>
        </w:rPr>
        <w:t>either</w:t>
      </w:r>
      <w:r w:rsidR="00DE626E" w:rsidRPr="00B21078">
        <w:rPr>
          <w:rFonts w:ascii="Garamond" w:hAnsi="Garamond"/>
        </w:rPr>
        <w:t xml:space="preserve"> message is more compelling than </w:t>
      </w:r>
      <w:r w:rsidR="003472BF" w:rsidRPr="00B21078">
        <w:rPr>
          <w:rFonts w:ascii="Garamond" w:hAnsi="Garamond"/>
        </w:rPr>
        <w:t xml:space="preserve">the </w:t>
      </w:r>
      <w:r w:rsidR="00DE626E" w:rsidRPr="00B21078">
        <w:rPr>
          <w:rFonts w:ascii="Garamond" w:hAnsi="Garamond"/>
        </w:rPr>
        <w:t>other</w:t>
      </w:r>
      <w:r w:rsidR="00637D25">
        <w:rPr>
          <w:rFonts w:ascii="Garamond" w:hAnsi="Garamond"/>
        </w:rPr>
        <w:t>. Furthermore, n</w:t>
      </w:r>
      <w:r w:rsidR="00DE626E" w:rsidRPr="00B21078">
        <w:rPr>
          <w:rFonts w:ascii="Garamond" w:hAnsi="Garamond"/>
        </w:rPr>
        <w:t xml:space="preserve">either </w:t>
      </w:r>
      <w:r w:rsidR="00885F08" w:rsidRPr="00B21078">
        <w:rPr>
          <w:rFonts w:ascii="Garamond" w:hAnsi="Garamond"/>
        </w:rPr>
        <w:t xml:space="preserve">de-escalatory </w:t>
      </w:r>
      <w:r w:rsidR="00DE626E" w:rsidRPr="00B21078">
        <w:rPr>
          <w:rFonts w:ascii="Garamond" w:hAnsi="Garamond"/>
        </w:rPr>
        <w:t xml:space="preserve">justification </w:t>
      </w:r>
      <w:r w:rsidR="003472BF" w:rsidRPr="00B21078">
        <w:rPr>
          <w:rFonts w:ascii="Garamond" w:hAnsi="Garamond"/>
        </w:rPr>
        <w:t xml:space="preserve">garners more support </w:t>
      </w:r>
      <w:r w:rsidR="00DE626E" w:rsidRPr="00B21078">
        <w:rPr>
          <w:rFonts w:ascii="Garamond" w:hAnsi="Garamond"/>
        </w:rPr>
        <w:t>than escalation</w:t>
      </w:r>
      <w:r w:rsidR="00CF730D" w:rsidRPr="00B21078">
        <w:rPr>
          <w:rFonts w:ascii="Garamond" w:hAnsi="Garamond"/>
        </w:rPr>
        <w:t xml:space="preserve">. These findings are important because they demonstrate that </w:t>
      </w:r>
      <w:r w:rsidR="00885F08" w:rsidRPr="00B21078">
        <w:rPr>
          <w:rFonts w:ascii="Garamond" w:hAnsi="Garamond"/>
        </w:rPr>
        <w:t xml:space="preserve">backing down is punished even in democratic and nuclear dyadic contexts, offering an important domestic political </w:t>
      </w:r>
      <w:r w:rsidR="008D0803">
        <w:rPr>
          <w:rFonts w:ascii="Garamond" w:hAnsi="Garamond"/>
        </w:rPr>
        <w:t>incentive</w:t>
      </w:r>
      <w:r w:rsidR="00885F08" w:rsidRPr="00B21078">
        <w:rPr>
          <w:rFonts w:ascii="Garamond" w:hAnsi="Garamond"/>
        </w:rPr>
        <w:t xml:space="preserve"> for conflict</w:t>
      </w:r>
      <w:r w:rsidR="00393BA0" w:rsidRPr="00B21078">
        <w:rPr>
          <w:rFonts w:ascii="Garamond" w:hAnsi="Garamond"/>
        </w:rPr>
        <w:t xml:space="preserve"> that goes beyond the substantive issues at stake or</w:t>
      </w:r>
      <w:r w:rsidR="00BB2154">
        <w:rPr>
          <w:rFonts w:ascii="Garamond" w:hAnsi="Garamond"/>
        </w:rPr>
        <w:t xml:space="preserve"> </w:t>
      </w:r>
      <w:r w:rsidR="007A3789">
        <w:rPr>
          <w:rFonts w:ascii="Garamond" w:hAnsi="Garamond"/>
        </w:rPr>
        <w:t>the intentional generation of audience costs</w:t>
      </w:r>
      <w:r w:rsidR="00393BA0" w:rsidRPr="00B21078">
        <w:rPr>
          <w:rFonts w:ascii="Garamond" w:hAnsi="Garamond"/>
        </w:rPr>
        <w:t xml:space="preserve"> by leaders </w:t>
      </w:r>
      <w:r w:rsidR="00BF2610" w:rsidRPr="00B21078">
        <w:rPr>
          <w:rFonts w:ascii="Garamond" w:hAnsi="Garamond"/>
        </w:rPr>
        <w:t>during crisis</w:t>
      </w:r>
      <w:r w:rsidR="00034E23">
        <w:rPr>
          <w:rFonts w:ascii="Garamond" w:hAnsi="Garamond"/>
        </w:rPr>
        <w:t xml:space="preserve"> (</w:t>
      </w:r>
      <w:r w:rsidR="00034E23" w:rsidRPr="0057038A">
        <w:rPr>
          <w:rFonts w:ascii="Garamond" w:hAnsi="Garamond"/>
        </w:rPr>
        <w:t>Fearon 1994</w:t>
      </w:r>
      <w:r w:rsidR="00034E23">
        <w:rPr>
          <w:rFonts w:ascii="Garamond" w:hAnsi="Garamond"/>
        </w:rPr>
        <w:t>)</w:t>
      </w:r>
      <w:r w:rsidR="00885F08" w:rsidRPr="00B21078">
        <w:rPr>
          <w:rFonts w:ascii="Garamond" w:hAnsi="Garamond"/>
        </w:rPr>
        <w:t xml:space="preserve">. </w:t>
      </w:r>
    </w:p>
    <w:p w14:paraId="5CBC5C93" w14:textId="1FA5032E" w:rsidR="009F2201" w:rsidRPr="00B21078" w:rsidRDefault="009F2201" w:rsidP="009F2201">
      <w:pPr>
        <w:spacing w:line="480" w:lineRule="auto"/>
        <w:ind w:firstLine="720"/>
        <w:rPr>
          <w:rFonts w:ascii="Garamond" w:hAnsi="Garamond"/>
        </w:rPr>
      </w:pPr>
      <w:r>
        <w:rPr>
          <w:rFonts w:ascii="Garamond" w:hAnsi="Garamond"/>
        </w:rPr>
        <w:t>Our study contributes to a nascent literature on the public opinion consequences of adversary provocation. Provocations have been characterized variously as “actions or incidents that state actors perceive as intentionally and wrongfully challenging or violating their values and goals, there</w:t>
      </w:r>
      <w:r w:rsidR="00034E23">
        <w:rPr>
          <w:rFonts w:ascii="Garamond" w:hAnsi="Garamond"/>
        </w:rPr>
        <w:t>by eliciting outraged reactions</w:t>
      </w:r>
      <w:r>
        <w:rPr>
          <w:rFonts w:ascii="Garamond" w:hAnsi="Garamond"/>
        </w:rPr>
        <w:t>”</w:t>
      </w:r>
      <w:r w:rsidR="00034E23">
        <w:rPr>
          <w:rFonts w:ascii="Garamond" w:hAnsi="Garamond"/>
        </w:rPr>
        <w:t xml:space="preserve"> (</w:t>
      </w:r>
      <w:r w:rsidR="00034E23" w:rsidRPr="0057038A">
        <w:rPr>
          <w:rFonts w:ascii="Garamond" w:hAnsi="Garamond"/>
        </w:rPr>
        <w:t>Hall 2017</w:t>
      </w:r>
      <w:r w:rsidR="00034E23">
        <w:rPr>
          <w:rFonts w:ascii="Garamond" w:hAnsi="Garamond"/>
        </w:rPr>
        <w:t>)</w:t>
      </w:r>
      <w:r>
        <w:rPr>
          <w:rFonts w:ascii="Garamond" w:hAnsi="Garamond"/>
        </w:rPr>
        <w:t xml:space="preserve"> or more broadly as</w:t>
      </w:r>
      <w:r w:rsidR="00034E23">
        <w:rPr>
          <w:rFonts w:ascii="Garamond" w:hAnsi="Garamond"/>
        </w:rPr>
        <w:t xml:space="preserve"> “anger-inducing foreign action</w:t>
      </w:r>
      <w:r>
        <w:rPr>
          <w:rFonts w:ascii="Garamond" w:hAnsi="Garamond"/>
        </w:rPr>
        <w:t>”</w:t>
      </w:r>
      <w:r w:rsidR="00034E23">
        <w:rPr>
          <w:rFonts w:ascii="Garamond" w:hAnsi="Garamond"/>
        </w:rPr>
        <w:t xml:space="preserve"> (</w:t>
      </w:r>
      <w:r w:rsidR="00034E23" w:rsidRPr="0057038A">
        <w:rPr>
          <w:rFonts w:ascii="Garamond" w:hAnsi="Garamond"/>
        </w:rPr>
        <w:t>Cho 2017</w:t>
      </w:r>
      <w:r w:rsidR="00034E23">
        <w:rPr>
          <w:rFonts w:ascii="Garamond" w:hAnsi="Garamond"/>
        </w:rPr>
        <w:t>)</w:t>
      </w:r>
      <w:r>
        <w:rPr>
          <w:rFonts w:ascii="Garamond" w:hAnsi="Garamond"/>
        </w:rPr>
        <w:t xml:space="preserve"> with a consequence of increasing resolve in the targeted state</w:t>
      </w:r>
      <w:r w:rsidR="00034E23">
        <w:rPr>
          <w:rFonts w:ascii="Garamond" w:hAnsi="Garamond"/>
        </w:rPr>
        <w:t xml:space="preserve"> (</w:t>
      </w:r>
      <w:r w:rsidR="00034E23" w:rsidRPr="0057038A">
        <w:rPr>
          <w:rFonts w:ascii="Garamond" w:hAnsi="Garamond"/>
        </w:rPr>
        <w:t>Dafoe, Hatz, and Zhang 2017</w:t>
      </w:r>
      <w:r w:rsidR="00034E23">
        <w:rPr>
          <w:rFonts w:ascii="Garamond" w:hAnsi="Garamond"/>
        </w:rPr>
        <w:t>)</w:t>
      </w:r>
      <w:r>
        <w:rPr>
          <w:rFonts w:ascii="Garamond" w:hAnsi="Garamond"/>
        </w:rPr>
        <w:t>. This research agenda has been pursued along multiple lines, including qualitative historical work</w:t>
      </w:r>
      <w:r w:rsidR="009B309C">
        <w:rPr>
          <w:rFonts w:ascii="Garamond" w:hAnsi="Garamond"/>
        </w:rPr>
        <w:t xml:space="preserve"> (</w:t>
      </w:r>
      <w:r w:rsidR="009B309C" w:rsidRPr="0057038A">
        <w:rPr>
          <w:rFonts w:ascii="Garamond" w:hAnsi="Garamond"/>
        </w:rPr>
        <w:t>Hall 2017; Cho 2017</w:t>
      </w:r>
      <w:r w:rsidR="009B309C">
        <w:rPr>
          <w:rFonts w:ascii="Garamond" w:hAnsi="Garamond"/>
        </w:rPr>
        <w:t>)</w:t>
      </w:r>
      <w:r>
        <w:rPr>
          <w:rFonts w:ascii="Garamond" w:hAnsi="Garamond"/>
        </w:rPr>
        <w:t>, survey experimental and natural experiment findings from the country of Georgia</w:t>
      </w:r>
      <w:r w:rsidR="009B309C">
        <w:rPr>
          <w:rFonts w:ascii="Garamond" w:hAnsi="Garamond"/>
        </w:rPr>
        <w:t xml:space="preserve"> (</w:t>
      </w:r>
      <w:r w:rsidR="009B309C" w:rsidRPr="0057038A">
        <w:rPr>
          <w:rFonts w:ascii="Garamond" w:hAnsi="Garamond"/>
        </w:rPr>
        <w:t>Driscoll and Maliniak 2016</w:t>
      </w:r>
      <w:r w:rsidR="009B309C">
        <w:rPr>
          <w:rFonts w:ascii="Garamond" w:hAnsi="Garamond"/>
        </w:rPr>
        <w:t>)</w:t>
      </w:r>
      <w:r>
        <w:rPr>
          <w:rFonts w:ascii="Garamond" w:hAnsi="Garamond"/>
        </w:rPr>
        <w:t>, and survey experiments in the United States</w:t>
      </w:r>
      <w:r w:rsidR="009B309C">
        <w:rPr>
          <w:rFonts w:ascii="Garamond" w:hAnsi="Garamond"/>
        </w:rPr>
        <w:t xml:space="preserve"> (</w:t>
      </w:r>
      <w:r w:rsidR="009B309C" w:rsidRPr="0057038A">
        <w:rPr>
          <w:rFonts w:ascii="Garamond" w:hAnsi="Garamond"/>
        </w:rPr>
        <w:t>Gottfried and Trager 2016; Dafoe, Hatz, and Zhang 2017; Cho 2018</w:t>
      </w:r>
      <w:r w:rsidR="009B309C">
        <w:rPr>
          <w:rFonts w:ascii="Garamond" w:hAnsi="Garamond"/>
        </w:rPr>
        <w:t>)</w:t>
      </w:r>
      <w:r>
        <w:rPr>
          <w:rFonts w:ascii="Garamond" w:hAnsi="Garamond"/>
        </w:rPr>
        <w:t xml:space="preserve"> and China</w:t>
      </w:r>
      <w:r w:rsidR="009B309C">
        <w:rPr>
          <w:rFonts w:ascii="Garamond" w:hAnsi="Garamond"/>
        </w:rPr>
        <w:t xml:space="preserve"> (</w:t>
      </w:r>
      <w:r w:rsidR="009B309C" w:rsidRPr="0057038A">
        <w:rPr>
          <w:rFonts w:ascii="Garamond" w:hAnsi="Garamond"/>
        </w:rPr>
        <w:t>Dafoe and Weiss 2017</w:t>
      </w:r>
      <w:r w:rsidR="009B309C">
        <w:rPr>
          <w:rFonts w:ascii="Garamond" w:hAnsi="Garamond"/>
        </w:rPr>
        <w:t>)</w:t>
      </w:r>
      <w:r>
        <w:rPr>
          <w:rFonts w:ascii="Garamond" w:hAnsi="Garamond"/>
        </w:rPr>
        <w:t xml:space="preserve">. Our </w:t>
      </w:r>
      <w:r>
        <w:rPr>
          <w:rFonts w:ascii="Garamond" w:hAnsi="Garamond"/>
        </w:rPr>
        <w:lastRenderedPageBreak/>
        <w:t xml:space="preserve">experiment advances this empirical agenda by offering one of the first </w:t>
      </w:r>
      <w:r w:rsidR="007A5EB9">
        <w:rPr>
          <w:rFonts w:ascii="Garamond" w:hAnsi="Garamond"/>
        </w:rPr>
        <w:t xml:space="preserve">survey experiments examining public responses to provocation </w:t>
      </w:r>
      <w:r>
        <w:rPr>
          <w:rFonts w:ascii="Garamond" w:hAnsi="Garamond"/>
        </w:rPr>
        <w:t>in a hybrid or transitional regime.</w:t>
      </w:r>
      <w:r w:rsidR="00B34232">
        <w:rPr>
          <w:rStyle w:val="FootnoteReference"/>
          <w:rFonts w:ascii="Garamond" w:hAnsi="Garamond"/>
        </w:rPr>
        <w:footnoteReference w:customMarkFollows="1" w:id="3"/>
        <w:t>2</w:t>
      </w:r>
      <w:r>
        <w:rPr>
          <w:rFonts w:ascii="Garamond" w:hAnsi="Garamond"/>
        </w:rPr>
        <w:t xml:space="preserve"> </w:t>
      </w:r>
    </w:p>
    <w:p w14:paraId="3E603558" w14:textId="6E6FA480" w:rsidR="00F36CCB" w:rsidRDefault="00877B0F" w:rsidP="00D46DE3">
      <w:pPr>
        <w:spacing w:line="480" w:lineRule="auto"/>
        <w:ind w:firstLine="720"/>
        <w:rPr>
          <w:rFonts w:ascii="Garamond" w:hAnsi="Garamond"/>
        </w:rPr>
      </w:pPr>
      <w:r w:rsidRPr="00B21078">
        <w:rPr>
          <w:rFonts w:ascii="Garamond" w:hAnsi="Garamond"/>
        </w:rPr>
        <w:t>Th</w:t>
      </w:r>
      <w:r>
        <w:rPr>
          <w:rFonts w:ascii="Garamond" w:hAnsi="Garamond"/>
        </w:rPr>
        <w:t>is</w:t>
      </w:r>
      <w:r w:rsidRPr="00B21078">
        <w:rPr>
          <w:rFonts w:ascii="Garamond" w:hAnsi="Garamond"/>
        </w:rPr>
        <w:t xml:space="preserve"> </w:t>
      </w:r>
      <w:r w:rsidR="00CF730D" w:rsidRPr="00B21078">
        <w:rPr>
          <w:rFonts w:ascii="Garamond" w:hAnsi="Garamond"/>
        </w:rPr>
        <w:t xml:space="preserve">paper proceeds </w:t>
      </w:r>
      <w:r w:rsidR="00344CD3">
        <w:rPr>
          <w:rFonts w:ascii="Garamond" w:hAnsi="Garamond"/>
        </w:rPr>
        <w:t xml:space="preserve">first </w:t>
      </w:r>
      <w:r w:rsidR="00CF730D" w:rsidRPr="00B21078">
        <w:rPr>
          <w:rFonts w:ascii="Garamond" w:hAnsi="Garamond"/>
        </w:rPr>
        <w:t xml:space="preserve">by </w:t>
      </w:r>
      <w:r w:rsidR="00FC24A8">
        <w:rPr>
          <w:rFonts w:ascii="Garamond" w:hAnsi="Garamond"/>
        </w:rPr>
        <w:t xml:space="preserve">spelling out the channels through which </w:t>
      </w:r>
      <w:r w:rsidR="003036B7">
        <w:rPr>
          <w:rFonts w:ascii="Garamond" w:hAnsi="Garamond"/>
        </w:rPr>
        <w:t xml:space="preserve">public opinion can </w:t>
      </w:r>
      <w:r w:rsidR="00D46DE3">
        <w:rPr>
          <w:rFonts w:ascii="Garamond" w:hAnsi="Garamond"/>
        </w:rPr>
        <w:t xml:space="preserve">affect foreign policy, </w:t>
      </w:r>
      <w:r w:rsidR="00CF730D" w:rsidRPr="00B21078">
        <w:rPr>
          <w:rFonts w:ascii="Garamond" w:hAnsi="Garamond"/>
        </w:rPr>
        <w:t xml:space="preserve">before turning to a brief review of the contextual circumstances of the seven-decade-long India-Pakistan dispute. It then introduces the research design </w:t>
      </w:r>
      <w:r w:rsidR="00344CD3">
        <w:rPr>
          <w:rFonts w:ascii="Garamond" w:hAnsi="Garamond"/>
        </w:rPr>
        <w:t>in greater detail</w:t>
      </w:r>
      <w:r w:rsidR="00CF730D" w:rsidRPr="00B21078">
        <w:rPr>
          <w:rFonts w:ascii="Garamond" w:hAnsi="Garamond"/>
        </w:rPr>
        <w:t xml:space="preserve">, before describing the empirical results that the survey experiment produced. Finally, it turns to the implications of those findings for our understanding of the broader literature on </w:t>
      </w:r>
      <w:r w:rsidR="007A3789">
        <w:rPr>
          <w:rFonts w:ascii="Garamond" w:hAnsi="Garamond"/>
        </w:rPr>
        <w:t>public opinion and conflict</w:t>
      </w:r>
      <w:r w:rsidR="00CF730D" w:rsidRPr="00B21078">
        <w:rPr>
          <w:rFonts w:ascii="Garamond" w:hAnsi="Garamond"/>
        </w:rPr>
        <w:t>, as well as possible directions for future research.</w:t>
      </w:r>
    </w:p>
    <w:p w14:paraId="0BEB3921" w14:textId="77777777" w:rsidR="00F36CCB" w:rsidRDefault="00F36CCB" w:rsidP="00F36CCB">
      <w:pPr>
        <w:spacing w:line="480" w:lineRule="auto"/>
        <w:ind w:firstLine="720"/>
        <w:rPr>
          <w:rFonts w:ascii="Garamond" w:hAnsi="Garamond"/>
        </w:rPr>
      </w:pPr>
    </w:p>
    <w:p w14:paraId="79A0330A" w14:textId="6DBEE3F2" w:rsidR="003D649F" w:rsidRPr="00B21078" w:rsidRDefault="000009EF">
      <w:pPr>
        <w:pStyle w:val="ListParagraph"/>
        <w:numPr>
          <w:ilvl w:val="0"/>
          <w:numId w:val="1"/>
        </w:numPr>
        <w:ind w:left="1080" w:hanging="1080"/>
        <w:rPr>
          <w:rFonts w:ascii="Garamond" w:hAnsi="Garamond"/>
          <w:b/>
        </w:rPr>
      </w:pPr>
      <w:r>
        <w:rPr>
          <w:rFonts w:ascii="Garamond" w:hAnsi="Garamond"/>
          <w:b/>
        </w:rPr>
        <w:t xml:space="preserve">Theoretical Framework and Expectations </w:t>
      </w:r>
    </w:p>
    <w:p w14:paraId="75D906F8" w14:textId="77777777" w:rsidR="0050514D" w:rsidRPr="00B21078" w:rsidRDefault="0050514D">
      <w:pPr>
        <w:pStyle w:val="ListParagraph"/>
        <w:ind w:left="0"/>
        <w:rPr>
          <w:rFonts w:ascii="Garamond" w:hAnsi="Garamond"/>
          <w:b/>
        </w:rPr>
      </w:pPr>
    </w:p>
    <w:p w14:paraId="4F10D68E" w14:textId="4C06A33B" w:rsidR="00A565EF" w:rsidRPr="00B21078" w:rsidRDefault="00480EA5">
      <w:pPr>
        <w:spacing w:line="480" w:lineRule="auto"/>
        <w:ind w:firstLine="720"/>
        <w:rPr>
          <w:rFonts w:ascii="Garamond" w:hAnsi="Garamond" w:cs="Times New Roman"/>
        </w:rPr>
      </w:pPr>
      <w:r w:rsidRPr="00B21078">
        <w:rPr>
          <w:rFonts w:ascii="Garamond" w:hAnsi="Garamond" w:cs="Times New Roman"/>
        </w:rPr>
        <w:t xml:space="preserve">Our research </w:t>
      </w:r>
      <w:r w:rsidR="00D15EE2">
        <w:rPr>
          <w:rFonts w:ascii="Garamond" w:hAnsi="Garamond" w:cs="Times New Roman"/>
        </w:rPr>
        <w:t>builds on</w:t>
      </w:r>
      <w:r w:rsidRPr="00B21078">
        <w:rPr>
          <w:rFonts w:ascii="Garamond" w:hAnsi="Garamond" w:cs="Times New Roman"/>
        </w:rPr>
        <w:t xml:space="preserve"> </w:t>
      </w:r>
      <w:r w:rsidR="00D15EE2">
        <w:rPr>
          <w:rFonts w:ascii="Garamond" w:hAnsi="Garamond" w:cs="Times New Roman"/>
        </w:rPr>
        <w:t>three</w:t>
      </w:r>
      <w:r w:rsidRPr="00B21078">
        <w:rPr>
          <w:rFonts w:ascii="Garamond" w:hAnsi="Garamond" w:cs="Times New Roman"/>
        </w:rPr>
        <w:t xml:space="preserve"> overlapping literatures associated with the domestic sources of foreign policy</w:t>
      </w:r>
      <w:r w:rsidR="006B61B8">
        <w:rPr>
          <w:rFonts w:ascii="Garamond" w:hAnsi="Garamond" w:cs="Times New Roman"/>
        </w:rPr>
        <w:t xml:space="preserve"> that have special relevance to the Pakistani case</w:t>
      </w:r>
      <w:r w:rsidR="002A736C">
        <w:rPr>
          <w:rFonts w:ascii="Garamond" w:hAnsi="Garamond" w:cs="Times New Roman"/>
        </w:rPr>
        <w:t xml:space="preserve">, </w:t>
      </w:r>
      <w:r w:rsidR="006B61B8">
        <w:rPr>
          <w:rFonts w:ascii="Garamond" w:hAnsi="Garamond" w:cs="Times New Roman"/>
        </w:rPr>
        <w:t xml:space="preserve">and those three topics </w:t>
      </w:r>
      <w:r w:rsidR="002A736C">
        <w:rPr>
          <w:rFonts w:ascii="Garamond" w:hAnsi="Garamond" w:cs="Times New Roman"/>
        </w:rPr>
        <w:t>in turn motivate our research design</w:t>
      </w:r>
      <w:r w:rsidRPr="00B21078">
        <w:rPr>
          <w:rFonts w:ascii="Garamond" w:hAnsi="Garamond" w:cs="Times New Roman"/>
        </w:rPr>
        <w:t xml:space="preserve">. First, we seek to better understand the potential </w:t>
      </w:r>
      <w:r w:rsidR="00555AD2">
        <w:rPr>
          <w:rFonts w:ascii="Garamond" w:hAnsi="Garamond" w:cs="Times New Roman"/>
        </w:rPr>
        <w:t>public opinion pressures faced by leaders</w:t>
      </w:r>
      <w:r w:rsidRPr="00B21078">
        <w:rPr>
          <w:rFonts w:ascii="Garamond" w:hAnsi="Garamond" w:cs="Times New Roman"/>
        </w:rPr>
        <w:t xml:space="preserve"> of a target state in a coercive bargaining situation</w:t>
      </w:r>
      <w:r w:rsidR="00021B89">
        <w:rPr>
          <w:rFonts w:ascii="Garamond" w:hAnsi="Garamond" w:cs="Times New Roman"/>
        </w:rPr>
        <w:t>. M</w:t>
      </w:r>
      <w:r w:rsidR="00642C7B">
        <w:rPr>
          <w:rFonts w:ascii="Garamond" w:hAnsi="Garamond" w:cs="Times New Roman"/>
        </w:rPr>
        <w:t>ost</w:t>
      </w:r>
      <w:r w:rsidRPr="00B21078">
        <w:rPr>
          <w:rFonts w:ascii="Garamond" w:hAnsi="Garamond" w:cs="Times New Roman"/>
        </w:rPr>
        <w:t xml:space="preserve"> </w:t>
      </w:r>
      <w:r w:rsidR="002A4B8E">
        <w:rPr>
          <w:rFonts w:ascii="Garamond" w:hAnsi="Garamond" w:cs="Times New Roman"/>
        </w:rPr>
        <w:t>existing</w:t>
      </w:r>
      <w:r w:rsidR="002A4B8E" w:rsidRPr="00B21078">
        <w:rPr>
          <w:rFonts w:ascii="Garamond" w:hAnsi="Garamond" w:cs="Times New Roman"/>
        </w:rPr>
        <w:t xml:space="preserve"> </w:t>
      </w:r>
      <w:r w:rsidRPr="00B21078">
        <w:rPr>
          <w:rFonts w:ascii="Garamond" w:hAnsi="Garamond" w:cs="Times New Roman"/>
        </w:rPr>
        <w:t>literature has</w:t>
      </w:r>
      <w:r w:rsidR="00021B89">
        <w:rPr>
          <w:rFonts w:ascii="Garamond" w:hAnsi="Garamond" w:cs="Times New Roman"/>
        </w:rPr>
        <w:t xml:space="preserve"> tended to</w:t>
      </w:r>
      <w:r w:rsidRPr="00B21078">
        <w:rPr>
          <w:rFonts w:ascii="Garamond" w:hAnsi="Garamond" w:cs="Times New Roman"/>
        </w:rPr>
        <w:t xml:space="preserve"> focus on the costs associated with the state</w:t>
      </w:r>
      <w:r w:rsidR="002A4B8E">
        <w:rPr>
          <w:rFonts w:ascii="Garamond" w:hAnsi="Garamond" w:cs="Times New Roman"/>
        </w:rPr>
        <w:t xml:space="preserve"> that initiates the crisis</w:t>
      </w:r>
      <w:r w:rsidRPr="00B21078">
        <w:rPr>
          <w:rFonts w:ascii="Garamond" w:hAnsi="Garamond" w:cs="Times New Roman"/>
        </w:rPr>
        <w:t xml:space="preserve">. </w:t>
      </w:r>
      <w:r w:rsidR="00D15EE2">
        <w:rPr>
          <w:rFonts w:ascii="Garamond" w:hAnsi="Garamond" w:cs="Times New Roman"/>
        </w:rPr>
        <w:t>Specifically</w:t>
      </w:r>
      <w:r w:rsidRPr="00B21078">
        <w:rPr>
          <w:rFonts w:ascii="Garamond" w:hAnsi="Garamond" w:cs="Times New Roman"/>
        </w:rPr>
        <w:t xml:space="preserve">, we want to better understand potential “rally around the flag” effects that might incentivize escalation. Leaders face public sanction from inaction, but in part that sanction is from the loss of potential rally around the flag effects. </w:t>
      </w:r>
      <w:r w:rsidR="00D15EE2">
        <w:rPr>
          <w:rFonts w:ascii="Garamond" w:hAnsi="Garamond" w:cs="Times New Roman"/>
        </w:rPr>
        <w:t>Second</w:t>
      </w:r>
      <w:r w:rsidR="00F63276" w:rsidRPr="00B21078">
        <w:rPr>
          <w:rFonts w:ascii="Garamond" w:hAnsi="Garamond" w:cs="Times New Roman"/>
        </w:rPr>
        <w:t xml:space="preserve">, we seek to identify whether </w:t>
      </w:r>
      <w:r w:rsidR="00024D4B">
        <w:rPr>
          <w:rFonts w:ascii="Garamond" w:hAnsi="Garamond" w:cs="Times New Roman"/>
        </w:rPr>
        <w:t>the military—given its specialization in armed conflict—is uniquely able to argue for de-escalatory action</w:t>
      </w:r>
      <w:r w:rsidR="00F63276" w:rsidRPr="00B21078">
        <w:rPr>
          <w:rFonts w:ascii="Garamond" w:hAnsi="Garamond" w:cs="Times New Roman"/>
        </w:rPr>
        <w:t xml:space="preserve">. </w:t>
      </w:r>
      <w:r w:rsidR="00C91014">
        <w:rPr>
          <w:rFonts w:ascii="Garamond" w:hAnsi="Garamond" w:cs="Times New Roman"/>
        </w:rPr>
        <w:t>Third</w:t>
      </w:r>
      <w:r w:rsidR="003333FE">
        <w:rPr>
          <w:rFonts w:ascii="Garamond" w:hAnsi="Garamond" w:cs="Times New Roman"/>
        </w:rPr>
        <w:t xml:space="preserve"> and finally, we attempt to assess </w:t>
      </w:r>
      <w:r w:rsidR="008F123D">
        <w:rPr>
          <w:rFonts w:ascii="Garamond" w:hAnsi="Garamond" w:cs="Times New Roman"/>
        </w:rPr>
        <w:t xml:space="preserve">whether escalatory pressures can be mitigated or eliminated through the </w:t>
      </w:r>
      <w:r w:rsidR="008F123D">
        <w:rPr>
          <w:rFonts w:ascii="Garamond" w:hAnsi="Garamond" w:cs="Times New Roman"/>
        </w:rPr>
        <w:lastRenderedPageBreak/>
        <w:t xml:space="preserve">provision of more detailed justifications, and test whether well-known rationales associated with peaceful international conduct are persuasive to respondents. </w:t>
      </w:r>
    </w:p>
    <w:p w14:paraId="7E27C2EC" w14:textId="77777777" w:rsidR="00D263EE" w:rsidRPr="00B21078" w:rsidRDefault="00D263EE">
      <w:pPr>
        <w:spacing w:line="480" w:lineRule="auto"/>
        <w:rPr>
          <w:rFonts w:ascii="Garamond" w:hAnsi="Garamond" w:cs="Times New Roman"/>
        </w:rPr>
      </w:pPr>
    </w:p>
    <w:p w14:paraId="566DE499" w14:textId="2AE83092" w:rsidR="00D263EE" w:rsidRPr="00B21078" w:rsidRDefault="00C91014">
      <w:pPr>
        <w:spacing w:line="480" w:lineRule="auto"/>
        <w:outlineLvl w:val="0"/>
        <w:rPr>
          <w:rFonts w:ascii="Garamond" w:hAnsi="Garamond" w:cs="Times New Roman"/>
        </w:rPr>
      </w:pPr>
      <w:r>
        <w:rPr>
          <w:rFonts w:ascii="Garamond" w:hAnsi="Garamond" w:cs="Times New Roman"/>
          <w:i/>
        </w:rPr>
        <w:t xml:space="preserve">Target States, </w:t>
      </w:r>
      <w:r w:rsidR="00024D4B">
        <w:rPr>
          <w:rFonts w:ascii="Garamond" w:hAnsi="Garamond" w:cs="Times New Roman"/>
          <w:i/>
        </w:rPr>
        <w:t>Public Audiences</w:t>
      </w:r>
      <w:r>
        <w:rPr>
          <w:rFonts w:ascii="Garamond" w:hAnsi="Garamond" w:cs="Times New Roman"/>
          <w:i/>
        </w:rPr>
        <w:t>, and Rallies around the Flag</w:t>
      </w:r>
    </w:p>
    <w:p w14:paraId="3F36E58E" w14:textId="45C98CBC" w:rsidR="00D263EE" w:rsidRPr="00B21078" w:rsidRDefault="00C91014">
      <w:pPr>
        <w:spacing w:line="480" w:lineRule="auto"/>
        <w:ind w:firstLine="720"/>
        <w:rPr>
          <w:rFonts w:ascii="Garamond" w:hAnsi="Garamond"/>
        </w:rPr>
      </w:pPr>
      <w:r>
        <w:rPr>
          <w:rFonts w:ascii="Garamond" w:hAnsi="Garamond"/>
        </w:rPr>
        <w:t xml:space="preserve">In recent years, the literature on public opinion and crisis behavior has focused on understanding audience costs, a key mechanism for understanding </w:t>
      </w:r>
      <w:r w:rsidR="000D60BA">
        <w:rPr>
          <w:rFonts w:ascii="Garamond" w:hAnsi="Garamond"/>
        </w:rPr>
        <w:t>how</w:t>
      </w:r>
      <w:r>
        <w:rPr>
          <w:rFonts w:ascii="Garamond" w:hAnsi="Garamond"/>
        </w:rPr>
        <w:t xml:space="preserve"> </w:t>
      </w:r>
      <w:r w:rsidR="00D263EE" w:rsidRPr="00B21078">
        <w:rPr>
          <w:rFonts w:ascii="Garamond" w:hAnsi="Garamond"/>
        </w:rPr>
        <w:t>a state c</w:t>
      </w:r>
      <w:r>
        <w:rPr>
          <w:rFonts w:ascii="Garamond" w:hAnsi="Garamond"/>
        </w:rPr>
        <w:t>an</w:t>
      </w:r>
      <w:r w:rsidR="00D263EE" w:rsidRPr="00B21078">
        <w:rPr>
          <w:rFonts w:ascii="Garamond" w:hAnsi="Garamond"/>
        </w:rPr>
        <w:t xml:space="preserve"> generate credible threats to escalate a dispute despite the inefficiency of armed conflict</w:t>
      </w:r>
      <w:r w:rsidR="00B03B94">
        <w:rPr>
          <w:rFonts w:ascii="Garamond" w:hAnsi="Garamond"/>
        </w:rPr>
        <w:t xml:space="preserve"> (</w:t>
      </w:r>
      <w:r w:rsidR="00B03B94" w:rsidRPr="0057038A">
        <w:rPr>
          <w:rFonts w:ascii="Garamond" w:hAnsi="Garamond"/>
        </w:rPr>
        <w:t>Fearon 1994</w:t>
      </w:r>
      <w:r w:rsidR="00B03B94">
        <w:rPr>
          <w:rFonts w:ascii="Garamond" w:hAnsi="Garamond"/>
        </w:rPr>
        <w:t>).</w:t>
      </w:r>
      <w:r w:rsidR="00D263EE" w:rsidRPr="00B21078">
        <w:rPr>
          <w:rFonts w:ascii="Garamond" w:hAnsi="Garamond"/>
        </w:rPr>
        <w:t xml:space="preserve"> By making public threats or engaging in a public campaign to justify armed conflict, an escalating state undertakes a process that “cannot be reversed without political costs,” and those costs in turn provide credibility to the underlying escalatory threat</w:t>
      </w:r>
      <w:r w:rsidR="00B03B94">
        <w:rPr>
          <w:rFonts w:ascii="Garamond" w:hAnsi="Garamond"/>
        </w:rPr>
        <w:t xml:space="preserve"> (</w:t>
      </w:r>
      <w:r w:rsidR="00B03B94" w:rsidRPr="0057038A">
        <w:rPr>
          <w:rFonts w:ascii="Garamond" w:hAnsi="Garamond"/>
        </w:rPr>
        <w:t>Martin 1993</w:t>
      </w:r>
      <w:r w:rsidR="00B03B94">
        <w:rPr>
          <w:rFonts w:ascii="Garamond" w:hAnsi="Garamond"/>
        </w:rPr>
        <w:t>)</w:t>
      </w:r>
      <w:r w:rsidR="00D263EE" w:rsidRPr="00B21078">
        <w:rPr>
          <w:rFonts w:ascii="Garamond" w:hAnsi="Garamond"/>
        </w:rPr>
        <w:t>, increasing the probability of compellence success. Thus</w:t>
      </w:r>
      <w:r w:rsidR="000D60BA">
        <w:rPr>
          <w:rFonts w:ascii="Garamond" w:hAnsi="Garamond"/>
        </w:rPr>
        <w:t>,</w:t>
      </w:r>
      <w:r w:rsidR="00D263EE" w:rsidRPr="00B21078">
        <w:rPr>
          <w:rFonts w:ascii="Garamond" w:hAnsi="Garamond"/>
        </w:rPr>
        <w:t xml:space="preserve"> there </w:t>
      </w:r>
      <w:r w:rsidR="000D60BA">
        <w:rPr>
          <w:rFonts w:ascii="Garamond" w:hAnsi="Garamond"/>
        </w:rPr>
        <w:t>h</w:t>
      </w:r>
      <w:r w:rsidR="00D263EE" w:rsidRPr="00B21078">
        <w:rPr>
          <w:rFonts w:ascii="Garamond" w:hAnsi="Garamond"/>
        </w:rPr>
        <w:t xml:space="preserve">as </w:t>
      </w:r>
      <w:r w:rsidR="000D60BA">
        <w:rPr>
          <w:rFonts w:ascii="Garamond" w:hAnsi="Garamond"/>
        </w:rPr>
        <w:t xml:space="preserve">been </w:t>
      </w:r>
      <w:r w:rsidR="00D263EE" w:rsidRPr="00B21078">
        <w:rPr>
          <w:rFonts w:ascii="Garamond" w:hAnsi="Garamond"/>
        </w:rPr>
        <w:t>considerable work</w:t>
      </w:r>
      <w:r w:rsidR="000D60BA">
        <w:rPr>
          <w:rFonts w:ascii="Garamond" w:hAnsi="Garamond"/>
        </w:rPr>
        <w:t xml:space="preserve"> done</w:t>
      </w:r>
      <w:r w:rsidR="00D263EE" w:rsidRPr="00B21078">
        <w:rPr>
          <w:rFonts w:ascii="Garamond" w:hAnsi="Garamond"/>
        </w:rPr>
        <w:t xml:space="preserve">—historical and experimental—in determining the existence and magnitude of </w:t>
      </w:r>
      <w:r w:rsidR="00642C7B">
        <w:rPr>
          <w:rFonts w:ascii="Garamond" w:hAnsi="Garamond"/>
        </w:rPr>
        <w:t>so-called “</w:t>
      </w:r>
      <w:r w:rsidR="00D263EE" w:rsidRPr="00B21078">
        <w:rPr>
          <w:rFonts w:ascii="Garamond" w:hAnsi="Garamond"/>
        </w:rPr>
        <w:t>audience costs</w:t>
      </w:r>
      <w:r w:rsidR="00642C7B">
        <w:rPr>
          <w:rFonts w:ascii="Garamond" w:hAnsi="Garamond"/>
        </w:rPr>
        <w:t>”</w:t>
      </w:r>
      <w:r w:rsidR="00D263EE" w:rsidRPr="00B21078">
        <w:rPr>
          <w:rFonts w:ascii="Garamond" w:hAnsi="Garamond"/>
        </w:rPr>
        <w:t xml:space="preserve"> in the init</w:t>
      </w:r>
      <w:r w:rsidR="00467243" w:rsidRPr="00B21078">
        <w:rPr>
          <w:rFonts w:ascii="Garamond" w:hAnsi="Garamond"/>
        </w:rPr>
        <w:t>i</w:t>
      </w:r>
      <w:r w:rsidR="00D263EE" w:rsidRPr="00B21078">
        <w:rPr>
          <w:rFonts w:ascii="Garamond" w:hAnsi="Garamond"/>
        </w:rPr>
        <w:t>ating (or challenging) state</w:t>
      </w:r>
      <w:r w:rsidR="00707323">
        <w:rPr>
          <w:rFonts w:ascii="Garamond" w:hAnsi="Garamond"/>
        </w:rPr>
        <w:t xml:space="preserve"> (</w:t>
      </w:r>
      <w:r w:rsidR="00707323" w:rsidRPr="0057038A">
        <w:rPr>
          <w:rFonts w:ascii="Garamond" w:hAnsi="Garamond"/>
        </w:rPr>
        <w:t>Tomz 2017; Snyder and Borghard 2011</w:t>
      </w:r>
      <w:r w:rsidR="00707323">
        <w:rPr>
          <w:rFonts w:ascii="Garamond" w:hAnsi="Garamond"/>
        </w:rPr>
        <w:t>)</w:t>
      </w:r>
      <w:r w:rsidR="00D263EE" w:rsidRPr="00B21078">
        <w:rPr>
          <w:rFonts w:ascii="Garamond" w:hAnsi="Garamond"/>
        </w:rPr>
        <w:t xml:space="preserve">, and whether the targeted state perceived the existence of those audience costs in determining its </w:t>
      </w:r>
      <w:r w:rsidR="007F43D7" w:rsidRPr="00B21078">
        <w:rPr>
          <w:rFonts w:ascii="Garamond" w:hAnsi="Garamond"/>
        </w:rPr>
        <w:t>own behavior</w:t>
      </w:r>
      <w:r w:rsidR="00707323">
        <w:rPr>
          <w:rFonts w:ascii="Garamond" w:hAnsi="Garamond"/>
        </w:rPr>
        <w:t xml:space="preserve"> (</w:t>
      </w:r>
      <w:r w:rsidR="00707323" w:rsidRPr="0057038A">
        <w:rPr>
          <w:rFonts w:ascii="Garamond" w:hAnsi="Garamond"/>
        </w:rPr>
        <w:t>Trachtenberg 2012</w:t>
      </w:r>
      <w:r w:rsidR="00707323">
        <w:rPr>
          <w:rFonts w:ascii="Garamond" w:hAnsi="Garamond"/>
        </w:rPr>
        <w:t>)</w:t>
      </w:r>
      <w:r w:rsidR="00D263EE" w:rsidRPr="00B21078">
        <w:rPr>
          <w:rFonts w:ascii="Garamond" w:hAnsi="Garamond"/>
        </w:rPr>
        <w:t xml:space="preserve">, as well as identifying the strategic selection effects that bedeviled </w:t>
      </w:r>
      <w:r w:rsidR="009F1BC5" w:rsidRPr="00B21078">
        <w:rPr>
          <w:rFonts w:ascii="Garamond" w:hAnsi="Garamond"/>
        </w:rPr>
        <w:t>empirical assessments of the phenomenon</w:t>
      </w:r>
      <w:r w:rsidR="00707323">
        <w:rPr>
          <w:rFonts w:ascii="Garamond" w:hAnsi="Garamond"/>
        </w:rPr>
        <w:t xml:space="preserve"> (</w:t>
      </w:r>
      <w:r w:rsidR="00707323" w:rsidRPr="0057038A">
        <w:rPr>
          <w:rFonts w:ascii="Garamond" w:hAnsi="Garamond"/>
        </w:rPr>
        <w:t>Schultz 2001; Fearon 2002; Kurizaki and Whang 2015</w:t>
      </w:r>
      <w:r w:rsidR="00707323">
        <w:rPr>
          <w:rFonts w:ascii="Garamond" w:hAnsi="Garamond"/>
        </w:rPr>
        <w:t>).</w:t>
      </w:r>
      <w:r w:rsidR="00D263EE" w:rsidRPr="00B21078">
        <w:rPr>
          <w:rFonts w:ascii="Garamond" w:hAnsi="Garamond"/>
        </w:rPr>
        <w:t xml:space="preserve"> </w:t>
      </w:r>
    </w:p>
    <w:p w14:paraId="19CAF7DE" w14:textId="09DA7DD9" w:rsidR="00A15016" w:rsidRPr="00B21078" w:rsidRDefault="00D263EE">
      <w:pPr>
        <w:spacing w:line="480" w:lineRule="auto"/>
        <w:ind w:firstLine="720"/>
        <w:rPr>
          <w:rFonts w:ascii="Garamond" w:hAnsi="Garamond"/>
        </w:rPr>
      </w:pPr>
      <w:r w:rsidRPr="00B21078">
        <w:rPr>
          <w:rFonts w:ascii="Garamond" w:hAnsi="Garamond"/>
        </w:rPr>
        <w:t xml:space="preserve">Less work has gone into examining the </w:t>
      </w:r>
      <w:r w:rsidR="00024D4B">
        <w:rPr>
          <w:rFonts w:ascii="Garamond" w:hAnsi="Garamond"/>
        </w:rPr>
        <w:t>popular pressures</w:t>
      </w:r>
      <w:r w:rsidRPr="00B21078">
        <w:rPr>
          <w:rFonts w:ascii="Garamond" w:hAnsi="Garamond"/>
        </w:rPr>
        <w:t xml:space="preserve"> associated with target states backing down or conceding in a crisis. In Schultz’s</w:t>
      </w:r>
      <w:r w:rsidR="005949E1">
        <w:rPr>
          <w:rFonts w:ascii="Garamond" w:hAnsi="Garamond"/>
        </w:rPr>
        <w:t xml:space="preserve"> </w:t>
      </w:r>
      <w:r w:rsidRPr="00B21078">
        <w:rPr>
          <w:rFonts w:ascii="Garamond" w:hAnsi="Garamond"/>
        </w:rPr>
        <w:t>stylized account, for instance, a target state that concedes to a challenge at the outset only suffers the substantive loss on the issue that generated the crisis in the first place—such as the value of disputed territory</w:t>
      </w:r>
      <w:r w:rsidR="00707323">
        <w:rPr>
          <w:rFonts w:ascii="Garamond" w:hAnsi="Garamond"/>
        </w:rPr>
        <w:t xml:space="preserve"> (</w:t>
      </w:r>
      <w:r w:rsidR="00707323" w:rsidRPr="0057038A">
        <w:rPr>
          <w:rFonts w:ascii="Garamond" w:hAnsi="Garamond"/>
        </w:rPr>
        <w:t>Schultz 2001</w:t>
      </w:r>
      <w:r w:rsidR="00707323">
        <w:rPr>
          <w:rFonts w:ascii="Garamond" w:hAnsi="Garamond"/>
        </w:rPr>
        <w:t>).</w:t>
      </w:r>
      <w:r w:rsidRPr="00B21078">
        <w:rPr>
          <w:rFonts w:ascii="Garamond" w:hAnsi="Garamond"/>
        </w:rPr>
        <w:t xml:space="preserve"> Only if the target state “resists” and the escalating state “stands firm” does the target state leader risk audience costs for backing down. But such an account only makes sense for crises where conceding at the outset is unobserved or uninteresting to the public. </w:t>
      </w:r>
      <w:r w:rsidR="00D46DE3">
        <w:rPr>
          <w:rFonts w:ascii="Garamond" w:hAnsi="Garamond"/>
        </w:rPr>
        <w:t>A</w:t>
      </w:r>
      <w:r w:rsidR="001D57F1">
        <w:rPr>
          <w:rFonts w:ascii="Garamond" w:hAnsi="Garamond"/>
        </w:rPr>
        <w:t xml:space="preserve">s Kurizaki </w:t>
      </w:r>
      <w:r w:rsidR="009251F8">
        <w:rPr>
          <w:rFonts w:ascii="Garamond" w:hAnsi="Garamond"/>
        </w:rPr>
        <w:t xml:space="preserve">(2007, 544) </w:t>
      </w:r>
      <w:r w:rsidR="001D57F1">
        <w:rPr>
          <w:rFonts w:ascii="Garamond" w:hAnsi="Garamond"/>
        </w:rPr>
        <w:t>has observed,</w:t>
      </w:r>
      <w:r w:rsidR="00D46DE3">
        <w:rPr>
          <w:rFonts w:ascii="Garamond" w:hAnsi="Garamond"/>
        </w:rPr>
        <w:t xml:space="preserve"> however,</w:t>
      </w:r>
      <w:r w:rsidR="001D57F1">
        <w:rPr>
          <w:rFonts w:ascii="Garamond" w:hAnsi="Garamond"/>
        </w:rPr>
        <w:t xml:space="preserve"> “making a threat in crises often has domestic political consequences for a defender as well as for a </w:t>
      </w:r>
      <w:r w:rsidR="001D57F1">
        <w:rPr>
          <w:rFonts w:ascii="Garamond" w:hAnsi="Garamond"/>
        </w:rPr>
        <w:lastRenderedPageBreak/>
        <w:t>challenger</w:t>
      </w:r>
      <w:r w:rsidR="009251F8">
        <w:rPr>
          <w:rFonts w:ascii="Garamond" w:hAnsi="Garamond"/>
        </w:rPr>
        <w:t>.</w:t>
      </w:r>
      <w:r w:rsidR="001D57F1">
        <w:rPr>
          <w:rFonts w:ascii="Garamond" w:hAnsi="Garamond"/>
        </w:rPr>
        <w:t>” While c</w:t>
      </w:r>
      <w:r w:rsidRPr="00B21078">
        <w:rPr>
          <w:rFonts w:ascii="Garamond" w:hAnsi="Garamond"/>
        </w:rPr>
        <w:t>overt</w:t>
      </w:r>
      <w:r w:rsidR="001D57F1">
        <w:rPr>
          <w:rFonts w:ascii="Garamond" w:hAnsi="Garamond"/>
        </w:rPr>
        <w:t xml:space="preserve"> threats and</w:t>
      </w:r>
      <w:r w:rsidRPr="00B21078">
        <w:rPr>
          <w:rFonts w:ascii="Garamond" w:hAnsi="Garamond"/>
        </w:rPr>
        <w:t xml:space="preserve"> concessions </w:t>
      </w:r>
      <w:r w:rsidR="001D57F1">
        <w:rPr>
          <w:rFonts w:ascii="Garamond" w:hAnsi="Garamond"/>
        </w:rPr>
        <w:t>exist</w:t>
      </w:r>
      <w:r w:rsidR="00132941">
        <w:rPr>
          <w:rFonts w:ascii="Garamond" w:hAnsi="Garamond"/>
        </w:rPr>
        <w:t xml:space="preserve"> (</w:t>
      </w:r>
      <w:r w:rsidR="00132941" w:rsidRPr="0057038A">
        <w:rPr>
          <w:rFonts w:ascii="Garamond" w:hAnsi="Garamond"/>
        </w:rPr>
        <w:t>Kurizaki 2007; Carson 2016</w:t>
      </w:r>
      <w:r w:rsidR="00132941">
        <w:rPr>
          <w:rFonts w:ascii="Garamond" w:hAnsi="Garamond"/>
        </w:rPr>
        <w:t>)</w:t>
      </w:r>
      <w:r w:rsidRPr="00B21078">
        <w:rPr>
          <w:rFonts w:ascii="Garamond" w:hAnsi="Garamond"/>
        </w:rPr>
        <w:t xml:space="preserve">, there is no reason to suspect they make up the majority of crisis bargaining behavior. Since </w:t>
      </w:r>
      <w:r w:rsidR="001D57F1">
        <w:rPr>
          <w:rFonts w:ascii="Garamond" w:hAnsi="Garamond"/>
        </w:rPr>
        <w:t>the danger of public sanctions</w:t>
      </w:r>
      <w:r w:rsidRPr="00B21078">
        <w:rPr>
          <w:rFonts w:ascii="Garamond" w:hAnsi="Garamond"/>
        </w:rPr>
        <w:t xml:space="preserve"> var</w:t>
      </w:r>
      <w:r w:rsidR="001D57F1">
        <w:rPr>
          <w:rFonts w:ascii="Garamond" w:hAnsi="Garamond"/>
        </w:rPr>
        <w:t>ies</w:t>
      </w:r>
      <w:r w:rsidRPr="00B21078">
        <w:rPr>
          <w:rFonts w:ascii="Garamond" w:hAnsi="Garamond"/>
        </w:rPr>
        <w:t xml:space="preserve"> from target to target, different types of states </w:t>
      </w:r>
      <w:r w:rsidR="001D57F1">
        <w:rPr>
          <w:rFonts w:ascii="Garamond" w:hAnsi="Garamond"/>
        </w:rPr>
        <w:t>likely experience substantially different incentives</w:t>
      </w:r>
      <w:r w:rsidRPr="00B21078">
        <w:rPr>
          <w:rFonts w:ascii="Garamond" w:hAnsi="Garamond"/>
        </w:rPr>
        <w:t xml:space="preserve"> when faced with the initial choice of concession or resistance</w:t>
      </w:r>
      <w:r w:rsidR="005F46F1">
        <w:rPr>
          <w:rFonts w:ascii="Garamond" w:hAnsi="Garamond"/>
        </w:rPr>
        <w:t>, retaliation or inaction</w:t>
      </w:r>
      <w:r w:rsidRPr="00B21078">
        <w:rPr>
          <w:rFonts w:ascii="Garamond" w:hAnsi="Garamond"/>
        </w:rPr>
        <w:t xml:space="preserve">. </w:t>
      </w:r>
      <w:r w:rsidR="009F1BC5" w:rsidRPr="00B21078">
        <w:rPr>
          <w:rFonts w:ascii="Garamond" w:hAnsi="Garamond"/>
        </w:rPr>
        <w:t xml:space="preserve">In fact, much of the modeling of crisis bargaining assumes implicitly some tangible good being bargained over—such as territory—that is either held or conceded. </w:t>
      </w:r>
      <w:r w:rsidR="005F46F1">
        <w:rPr>
          <w:rFonts w:ascii="Garamond" w:hAnsi="Garamond"/>
        </w:rPr>
        <w:t>This modeling neglects empirical evidence that explicit coercive threats appear to be uncommon in both crises and militarized disputes</w:t>
      </w:r>
      <w:r w:rsidR="00132941">
        <w:rPr>
          <w:rFonts w:ascii="Garamond" w:hAnsi="Garamond"/>
        </w:rPr>
        <w:t xml:space="preserve"> (</w:t>
      </w:r>
      <w:r w:rsidR="00132941" w:rsidRPr="0057038A">
        <w:rPr>
          <w:rFonts w:ascii="Garamond" w:hAnsi="Garamond"/>
        </w:rPr>
        <w:t>Downes and Sechser 2012, 459</w:t>
      </w:r>
      <w:r w:rsidR="00132941">
        <w:rPr>
          <w:rFonts w:ascii="Garamond" w:hAnsi="Garamond"/>
        </w:rPr>
        <w:t>)</w:t>
      </w:r>
      <w:r w:rsidR="005F46F1">
        <w:rPr>
          <w:rFonts w:ascii="Garamond" w:hAnsi="Garamond"/>
        </w:rPr>
        <w:t xml:space="preserve">. </w:t>
      </w:r>
    </w:p>
    <w:p w14:paraId="681747E6" w14:textId="7FCD784E" w:rsidR="00DD3EBC" w:rsidRDefault="00FC60E6" w:rsidP="0009296A">
      <w:pPr>
        <w:spacing w:line="480" w:lineRule="auto"/>
        <w:ind w:firstLine="720"/>
        <w:rPr>
          <w:rFonts w:ascii="Garamond" w:hAnsi="Garamond"/>
        </w:rPr>
      </w:pPr>
      <w:r w:rsidRPr="0009296A">
        <w:rPr>
          <w:rFonts w:ascii="Garamond" w:hAnsi="Garamond"/>
        </w:rPr>
        <w:t xml:space="preserve">The literature </w:t>
      </w:r>
      <w:r w:rsidR="00602C2A" w:rsidRPr="0009296A">
        <w:rPr>
          <w:rFonts w:ascii="Garamond" w:hAnsi="Garamond"/>
        </w:rPr>
        <w:t xml:space="preserve">on audience costs </w:t>
      </w:r>
      <w:r w:rsidRPr="0009296A">
        <w:rPr>
          <w:rFonts w:ascii="Garamond" w:hAnsi="Garamond"/>
        </w:rPr>
        <w:t xml:space="preserve">has focused on the potential costs </w:t>
      </w:r>
      <w:r w:rsidR="0009296A" w:rsidRPr="0009296A">
        <w:rPr>
          <w:rFonts w:ascii="Garamond" w:hAnsi="Garamond"/>
        </w:rPr>
        <w:t>of</w:t>
      </w:r>
      <w:r w:rsidRPr="0009296A">
        <w:rPr>
          <w:rFonts w:ascii="Garamond" w:hAnsi="Garamond"/>
        </w:rPr>
        <w:t xml:space="preserve"> backing down following crisis initiation, but has not emphasized the public benefits that might flow from escalation for either the initiating or target state, even as some scholars in that tradition have acknowledged the possible importance of such effects</w:t>
      </w:r>
      <w:r w:rsidR="00132941">
        <w:rPr>
          <w:rFonts w:ascii="Garamond" w:hAnsi="Garamond"/>
        </w:rPr>
        <w:t xml:space="preserve"> (s</w:t>
      </w:r>
      <w:r w:rsidR="00132941" w:rsidRPr="0057038A">
        <w:rPr>
          <w:rFonts w:ascii="Garamond" w:hAnsi="Garamond"/>
        </w:rPr>
        <w:t>ee, e.g., Fearon 1994, 580</w:t>
      </w:r>
      <w:r w:rsidR="00132941">
        <w:rPr>
          <w:rFonts w:ascii="Garamond" w:hAnsi="Garamond"/>
        </w:rPr>
        <w:t>)</w:t>
      </w:r>
      <w:r w:rsidRPr="0009296A">
        <w:rPr>
          <w:rFonts w:ascii="Garamond" w:hAnsi="Garamond"/>
        </w:rPr>
        <w:t>.</w:t>
      </w:r>
      <w:r w:rsidR="00FB0A75" w:rsidRPr="0009296A">
        <w:rPr>
          <w:rFonts w:ascii="Garamond" w:hAnsi="Garamond"/>
        </w:rPr>
        <w:t xml:space="preserve"> </w:t>
      </w:r>
      <w:r w:rsidRPr="0009296A">
        <w:rPr>
          <w:rFonts w:ascii="Garamond" w:hAnsi="Garamond"/>
        </w:rPr>
        <w:t>Such an</w:t>
      </w:r>
      <w:r w:rsidR="00C91014" w:rsidRPr="0009296A">
        <w:rPr>
          <w:rFonts w:ascii="Garamond" w:hAnsi="Garamond"/>
        </w:rPr>
        <w:t xml:space="preserve"> escalatory preference may emerge through two pathways: (1) if publics have hawkish preference</w:t>
      </w:r>
      <w:r w:rsidR="00AD7200">
        <w:rPr>
          <w:rFonts w:ascii="Garamond" w:hAnsi="Garamond"/>
        </w:rPr>
        <w:t>s (</w:t>
      </w:r>
      <w:r w:rsidR="00AD7200" w:rsidRPr="00AD7200">
        <w:rPr>
          <w:rFonts w:ascii="Garamond" w:hAnsi="Garamond"/>
        </w:rPr>
        <w:t xml:space="preserve"> </w:t>
      </w:r>
      <w:r w:rsidR="00AD7200" w:rsidRPr="0057038A">
        <w:rPr>
          <w:rFonts w:ascii="Garamond" w:hAnsi="Garamond"/>
        </w:rPr>
        <w:t>Snyder and Borghard 2011, 438</w:t>
      </w:r>
      <w:r w:rsidR="00AD7200">
        <w:rPr>
          <w:rFonts w:ascii="Garamond" w:hAnsi="Garamond"/>
        </w:rPr>
        <w:t>)</w:t>
      </w:r>
      <w:r w:rsidR="00C91014" w:rsidRPr="0009296A">
        <w:rPr>
          <w:rFonts w:ascii="Garamond" w:hAnsi="Garamond"/>
        </w:rPr>
        <w:t xml:space="preserve"> </w:t>
      </w:r>
      <w:r w:rsidR="0009296A" w:rsidRPr="0009296A">
        <w:rPr>
          <w:rFonts w:ascii="Garamond" w:hAnsi="Garamond"/>
        </w:rPr>
        <w:t xml:space="preserve">and/or </w:t>
      </w:r>
      <w:r w:rsidR="00C91014" w:rsidRPr="0009296A">
        <w:rPr>
          <w:rFonts w:ascii="Garamond" w:hAnsi="Garamond"/>
        </w:rPr>
        <w:t xml:space="preserve">(2) if there </w:t>
      </w:r>
      <w:r w:rsidRPr="0009296A">
        <w:rPr>
          <w:rFonts w:ascii="Garamond" w:hAnsi="Garamond"/>
        </w:rPr>
        <w:t xml:space="preserve">are </w:t>
      </w:r>
      <w:r w:rsidR="00C91014" w:rsidRPr="0009296A">
        <w:rPr>
          <w:rFonts w:ascii="Garamond" w:hAnsi="Garamond"/>
        </w:rPr>
        <w:t>rally around the flag effect</w:t>
      </w:r>
      <w:r w:rsidRPr="0009296A">
        <w:rPr>
          <w:rFonts w:ascii="Garamond" w:hAnsi="Garamond"/>
        </w:rPr>
        <w:t>s</w:t>
      </w:r>
      <w:r w:rsidR="00132941">
        <w:rPr>
          <w:rFonts w:ascii="Garamond" w:hAnsi="Garamond"/>
        </w:rPr>
        <w:t xml:space="preserve"> (</w:t>
      </w:r>
      <w:r w:rsidR="00132941" w:rsidRPr="0057038A">
        <w:rPr>
          <w:rFonts w:ascii="Garamond" w:hAnsi="Garamond"/>
        </w:rPr>
        <w:t>Mueller 1970; Mueller 1973; Baker and O’Neal 2001; Lai and Reiter 2005</w:t>
      </w:r>
      <w:r w:rsidR="00132941">
        <w:rPr>
          <w:rFonts w:ascii="Garamond" w:hAnsi="Garamond"/>
        </w:rPr>
        <w:t>)</w:t>
      </w:r>
      <w:r w:rsidR="00C91014" w:rsidRPr="0009296A">
        <w:rPr>
          <w:rFonts w:ascii="Garamond" w:hAnsi="Garamond"/>
        </w:rPr>
        <w:t>.</w:t>
      </w:r>
      <w:r w:rsidR="00644BF1">
        <w:rPr>
          <w:rFonts w:ascii="Garamond" w:hAnsi="Garamond"/>
        </w:rPr>
        <w:t xml:space="preserve"> </w:t>
      </w:r>
      <w:r>
        <w:rPr>
          <w:rFonts w:ascii="Garamond" w:hAnsi="Garamond"/>
        </w:rPr>
        <w:t xml:space="preserve">In either instance, leaders may conclude </w:t>
      </w:r>
      <w:r w:rsidR="00D51583">
        <w:rPr>
          <w:rFonts w:ascii="Garamond" w:hAnsi="Garamond"/>
        </w:rPr>
        <w:t xml:space="preserve">that </w:t>
      </w:r>
      <w:r>
        <w:rPr>
          <w:rFonts w:ascii="Garamond" w:hAnsi="Garamond"/>
        </w:rPr>
        <w:t xml:space="preserve">there are public opinion benefits from escalatory choices that they </w:t>
      </w:r>
      <w:r w:rsidR="000F7998">
        <w:rPr>
          <w:rFonts w:ascii="Garamond" w:hAnsi="Garamond"/>
        </w:rPr>
        <w:t>would have to</w:t>
      </w:r>
      <w:r>
        <w:rPr>
          <w:rFonts w:ascii="Garamond" w:hAnsi="Garamond"/>
        </w:rPr>
        <w:t xml:space="preserve"> forego by de-escalating a crisis—an opportunity cost in the event of de-escalation which we label a “lost rally.” </w:t>
      </w:r>
      <w:r w:rsidR="00A83298" w:rsidRPr="00B21078">
        <w:rPr>
          <w:rFonts w:ascii="Garamond" w:hAnsi="Garamond"/>
        </w:rPr>
        <w:t>The precise mechanism</w:t>
      </w:r>
      <w:r>
        <w:rPr>
          <w:rFonts w:ascii="Garamond" w:hAnsi="Garamond"/>
        </w:rPr>
        <w:t>s</w:t>
      </w:r>
      <w:r w:rsidR="00A83298" w:rsidRPr="00B21078">
        <w:rPr>
          <w:rFonts w:ascii="Garamond" w:hAnsi="Garamond"/>
        </w:rPr>
        <w:t xml:space="preserve"> </w:t>
      </w:r>
      <w:r>
        <w:rPr>
          <w:rFonts w:ascii="Garamond" w:hAnsi="Garamond"/>
        </w:rPr>
        <w:t>behind</w:t>
      </w:r>
      <w:r w:rsidRPr="00B21078">
        <w:rPr>
          <w:rFonts w:ascii="Garamond" w:hAnsi="Garamond"/>
        </w:rPr>
        <w:t xml:space="preserve"> </w:t>
      </w:r>
      <w:r>
        <w:rPr>
          <w:rFonts w:ascii="Garamond" w:hAnsi="Garamond"/>
        </w:rPr>
        <w:t>rally</w:t>
      </w:r>
      <w:r w:rsidRPr="00B21078">
        <w:rPr>
          <w:rFonts w:ascii="Garamond" w:hAnsi="Garamond"/>
        </w:rPr>
        <w:t xml:space="preserve"> </w:t>
      </w:r>
      <w:r w:rsidR="00A83298" w:rsidRPr="00B21078">
        <w:rPr>
          <w:rFonts w:ascii="Garamond" w:hAnsi="Garamond"/>
        </w:rPr>
        <w:t>effect</w:t>
      </w:r>
      <w:r>
        <w:rPr>
          <w:rFonts w:ascii="Garamond" w:hAnsi="Garamond"/>
        </w:rPr>
        <w:t>s</w:t>
      </w:r>
      <w:r w:rsidR="005450AB">
        <w:rPr>
          <w:rFonts w:ascii="Garamond" w:hAnsi="Garamond"/>
        </w:rPr>
        <w:t xml:space="preserve"> more generally</w:t>
      </w:r>
      <w:r w:rsidR="00A83298" w:rsidRPr="00B21078">
        <w:rPr>
          <w:rFonts w:ascii="Garamond" w:hAnsi="Garamond"/>
        </w:rPr>
        <w:t xml:space="preserve"> </w:t>
      </w:r>
      <w:r>
        <w:rPr>
          <w:rFonts w:ascii="Garamond" w:hAnsi="Garamond"/>
        </w:rPr>
        <w:t>are</w:t>
      </w:r>
      <w:r w:rsidRPr="00B21078">
        <w:rPr>
          <w:rFonts w:ascii="Garamond" w:hAnsi="Garamond"/>
        </w:rPr>
        <w:t xml:space="preserve"> </w:t>
      </w:r>
      <w:r w:rsidR="000F3FFB" w:rsidRPr="00B21078">
        <w:rPr>
          <w:rFonts w:ascii="Garamond" w:hAnsi="Garamond"/>
        </w:rPr>
        <w:t xml:space="preserve">still </w:t>
      </w:r>
      <w:r w:rsidR="00A83298" w:rsidRPr="00B21078">
        <w:rPr>
          <w:rFonts w:ascii="Garamond" w:hAnsi="Garamond"/>
        </w:rPr>
        <w:t xml:space="preserve">debated, with some evidence in favor of “opinion leadership,” namely </w:t>
      </w:r>
      <w:r w:rsidR="00CC5AC9" w:rsidRPr="00B21078">
        <w:rPr>
          <w:rFonts w:ascii="Garamond" w:hAnsi="Garamond"/>
        </w:rPr>
        <w:t xml:space="preserve">that opposition elite criticism decreases during an international crisis, </w:t>
      </w:r>
      <w:r w:rsidR="00DD3EBC" w:rsidRPr="00B21078">
        <w:rPr>
          <w:rFonts w:ascii="Garamond" w:hAnsi="Garamond"/>
        </w:rPr>
        <w:t>and the resultant loss of oppositional elite cuing increases mass support for national leaders</w:t>
      </w:r>
      <w:r w:rsidR="00132941">
        <w:rPr>
          <w:rFonts w:ascii="Garamond" w:hAnsi="Garamond"/>
        </w:rPr>
        <w:t xml:space="preserve"> (</w:t>
      </w:r>
      <w:r w:rsidR="00132941" w:rsidRPr="0057038A">
        <w:rPr>
          <w:rFonts w:ascii="Garamond" w:hAnsi="Garamond"/>
        </w:rPr>
        <w:t>Baker and O’Neal 2001, 668</w:t>
      </w:r>
      <w:r w:rsidR="00132941">
        <w:rPr>
          <w:rFonts w:ascii="Garamond" w:hAnsi="Garamond"/>
        </w:rPr>
        <w:t>)</w:t>
      </w:r>
      <w:r w:rsidR="00DD3EBC" w:rsidRPr="00B21078">
        <w:rPr>
          <w:rFonts w:ascii="Garamond" w:hAnsi="Garamond"/>
        </w:rPr>
        <w:t xml:space="preserve">. Alternative “patriotism” or “anger-based” models </w:t>
      </w:r>
      <w:r w:rsidR="000F3FFB" w:rsidRPr="00B21078">
        <w:rPr>
          <w:rFonts w:ascii="Garamond" w:hAnsi="Garamond"/>
        </w:rPr>
        <w:t xml:space="preserve">for the rally </w:t>
      </w:r>
      <w:r w:rsidR="00043606">
        <w:rPr>
          <w:rFonts w:ascii="Garamond" w:hAnsi="Garamond"/>
        </w:rPr>
        <w:t xml:space="preserve">effect </w:t>
      </w:r>
      <w:r w:rsidR="00DD3EBC" w:rsidRPr="00B21078">
        <w:rPr>
          <w:rFonts w:ascii="Garamond" w:hAnsi="Garamond"/>
        </w:rPr>
        <w:t xml:space="preserve">instead suggest </w:t>
      </w:r>
      <w:r w:rsidR="00043606">
        <w:rPr>
          <w:rFonts w:ascii="Garamond" w:hAnsi="Garamond"/>
        </w:rPr>
        <w:t xml:space="preserve">that </w:t>
      </w:r>
      <w:r w:rsidR="00DD3EBC" w:rsidRPr="00B21078">
        <w:rPr>
          <w:rFonts w:ascii="Garamond" w:hAnsi="Garamond"/>
        </w:rPr>
        <w:t>threats help build in-group identity</w:t>
      </w:r>
      <w:r w:rsidR="00132941">
        <w:rPr>
          <w:rFonts w:ascii="Garamond" w:hAnsi="Garamond"/>
        </w:rPr>
        <w:t xml:space="preserve"> (Tajfel and Turner 1986)</w:t>
      </w:r>
      <w:r w:rsidR="00DD3EBC" w:rsidRPr="00B21078">
        <w:rPr>
          <w:rFonts w:ascii="Garamond" w:hAnsi="Garamond"/>
        </w:rPr>
        <w:t xml:space="preserve"> or, at a minimum, </w:t>
      </w:r>
      <w:r w:rsidR="00644BF1">
        <w:rPr>
          <w:rFonts w:ascii="Garamond" w:hAnsi="Garamond"/>
        </w:rPr>
        <w:t>posit</w:t>
      </w:r>
      <w:r w:rsidR="00DD3EBC" w:rsidRPr="00B21078">
        <w:rPr>
          <w:rFonts w:ascii="Garamond" w:hAnsi="Garamond"/>
        </w:rPr>
        <w:t xml:space="preserve"> </w:t>
      </w:r>
      <w:r w:rsidR="00823D1A">
        <w:rPr>
          <w:rFonts w:ascii="Garamond" w:hAnsi="Garamond"/>
        </w:rPr>
        <w:t xml:space="preserve">that </w:t>
      </w:r>
      <w:r w:rsidR="00DD3EBC" w:rsidRPr="00B21078">
        <w:rPr>
          <w:rFonts w:ascii="Garamond" w:hAnsi="Garamond"/>
        </w:rPr>
        <w:t xml:space="preserve">leaders </w:t>
      </w:r>
      <w:r w:rsidR="00644BF1">
        <w:rPr>
          <w:rFonts w:ascii="Garamond" w:hAnsi="Garamond"/>
        </w:rPr>
        <w:t xml:space="preserve">will gain additional support </w:t>
      </w:r>
      <w:r w:rsidR="00DD3EBC" w:rsidRPr="00B21078">
        <w:rPr>
          <w:rFonts w:ascii="Garamond" w:hAnsi="Garamond"/>
        </w:rPr>
        <w:t>in order to permit retaliation and retribution</w:t>
      </w:r>
      <w:r w:rsidR="00132941">
        <w:rPr>
          <w:rFonts w:ascii="Garamond" w:hAnsi="Garamond"/>
        </w:rPr>
        <w:t xml:space="preserve"> (</w:t>
      </w:r>
      <w:r w:rsidR="00132941" w:rsidRPr="0057038A">
        <w:rPr>
          <w:rFonts w:ascii="Garamond" w:hAnsi="Garamond"/>
        </w:rPr>
        <w:t>Lerner et al. 2003; Lambert et al. 2010; Lambert, Schott, and Scherer 2011</w:t>
      </w:r>
      <w:r w:rsidR="00132941">
        <w:rPr>
          <w:rFonts w:ascii="Garamond" w:hAnsi="Garamond"/>
        </w:rPr>
        <w:t>)</w:t>
      </w:r>
      <w:r w:rsidR="00F0756C">
        <w:rPr>
          <w:rFonts w:ascii="Garamond" w:hAnsi="Garamond"/>
        </w:rPr>
        <w:t>.</w:t>
      </w:r>
      <w:r w:rsidR="00DD3EBC" w:rsidRPr="00B21078">
        <w:rPr>
          <w:rFonts w:ascii="Garamond" w:hAnsi="Garamond"/>
        </w:rPr>
        <w:t xml:space="preserve"> While in </w:t>
      </w:r>
      <w:r w:rsidR="00DD3EBC" w:rsidRPr="00B21078">
        <w:rPr>
          <w:rFonts w:ascii="Garamond" w:hAnsi="Garamond"/>
        </w:rPr>
        <w:lastRenderedPageBreak/>
        <w:t>most audience cost models these foregone rally effects are not assessed, they may be quite important in real</w:t>
      </w:r>
      <w:r w:rsidR="00DD3EFC" w:rsidRPr="00B21078">
        <w:rPr>
          <w:rFonts w:ascii="Garamond" w:hAnsi="Garamond"/>
        </w:rPr>
        <w:t xml:space="preserve"> </w:t>
      </w:r>
      <w:r w:rsidR="00DD3EBC" w:rsidRPr="00B21078">
        <w:rPr>
          <w:rFonts w:ascii="Garamond" w:hAnsi="Garamond"/>
        </w:rPr>
        <w:t xml:space="preserve">life. By emphasizing them </w:t>
      </w:r>
      <w:r w:rsidR="00644BF1">
        <w:rPr>
          <w:rFonts w:ascii="Garamond" w:hAnsi="Garamond"/>
        </w:rPr>
        <w:t>for the target state</w:t>
      </w:r>
      <w:r w:rsidR="00DD3EBC" w:rsidRPr="00B21078">
        <w:rPr>
          <w:rFonts w:ascii="Garamond" w:hAnsi="Garamond"/>
        </w:rPr>
        <w:t xml:space="preserve">, we </w:t>
      </w:r>
      <w:r w:rsidR="00024D4B">
        <w:rPr>
          <w:rFonts w:ascii="Garamond" w:hAnsi="Garamond"/>
        </w:rPr>
        <w:t>are inspired by recent efforts to</w:t>
      </w:r>
      <w:r w:rsidR="003B0747">
        <w:rPr>
          <w:rFonts w:ascii="Garamond" w:hAnsi="Garamond"/>
        </w:rPr>
        <w:t xml:space="preserve"> </w:t>
      </w:r>
      <w:r w:rsidR="00DD3EBC" w:rsidRPr="00B21078">
        <w:rPr>
          <w:rFonts w:ascii="Garamond" w:hAnsi="Garamond"/>
        </w:rPr>
        <w:t>decompose audience costs</w:t>
      </w:r>
      <w:r w:rsidR="00644BF1">
        <w:rPr>
          <w:rFonts w:ascii="Garamond" w:hAnsi="Garamond"/>
        </w:rPr>
        <w:t xml:space="preserve"> in initiating states</w:t>
      </w:r>
      <w:r w:rsidR="00DD3EBC" w:rsidRPr="00B21078">
        <w:rPr>
          <w:rFonts w:ascii="Garamond" w:hAnsi="Garamond"/>
        </w:rPr>
        <w:t>. Kertzer and Brut</w:t>
      </w:r>
      <w:r w:rsidR="000F3FFB" w:rsidRPr="00B21078">
        <w:rPr>
          <w:rFonts w:ascii="Garamond" w:hAnsi="Garamond"/>
        </w:rPr>
        <w:t>ger, for instance, argue</w:t>
      </w:r>
      <w:r w:rsidR="00DD3EBC" w:rsidRPr="00B21078">
        <w:rPr>
          <w:rFonts w:ascii="Garamond" w:hAnsi="Garamond"/>
        </w:rPr>
        <w:t xml:space="preserve"> that traditional audience costs </w:t>
      </w:r>
      <w:r w:rsidR="000049EE" w:rsidRPr="00B21078">
        <w:rPr>
          <w:rFonts w:ascii="Garamond" w:hAnsi="Garamond"/>
        </w:rPr>
        <w:t>involve both an inconsistency cost (associated with starting a crisis and then subsequently backing down) as well as belligerence cost (a penalty for starting a crisis in the first place)</w:t>
      </w:r>
      <w:r w:rsidR="00132941">
        <w:rPr>
          <w:rFonts w:ascii="Garamond" w:hAnsi="Garamond"/>
        </w:rPr>
        <w:t xml:space="preserve"> (</w:t>
      </w:r>
      <w:r w:rsidR="00132941" w:rsidRPr="0057038A">
        <w:rPr>
          <w:rFonts w:ascii="Garamond" w:hAnsi="Garamond"/>
        </w:rPr>
        <w:t>Kertzer and Brutger 2016</w:t>
      </w:r>
      <w:r w:rsidR="00132941">
        <w:rPr>
          <w:rFonts w:ascii="Garamond" w:hAnsi="Garamond"/>
        </w:rPr>
        <w:t>)</w:t>
      </w:r>
      <w:r w:rsidR="000049EE" w:rsidRPr="00B21078">
        <w:rPr>
          <w:rFonts w:ascii="Garamond" w:hAnsi="Garamond"/>
        </w:rPr>
        <w:t>. To these, our experiment suggest</w:t>
      </w:r>
      <w:r w:rsidR="008423C4">
        <w:rPr>
          <w:rFonts w:ascii="Garamond" w:hAnsi="Garamond"/>
        </w:rPr>
        <w:t>s that</w:t>
      </w:r>
      <w:r w:rsidR="000049EE" w:rsidRPr="00B21078">
        <w:rPr>
          <w:rFonts w:ascii="Garamond" w:hAnsi="Garamond"/>
        </w:rPr>
        <w:t xml:space="preserve"> there </w:t>
      </w:r>
      <w:r w:rsidR="00024D4B">
        <w:rPr>
          <w:rFonts w:ascii="Garamond" w:hAnsi="Garamond"/>
        </w:rPr>
        <w:t>may be</w:t>
      </w:r>
      <w:r w:rsidR="00024D4B" w:rsidRPr="00B21078">
        <w:rPr>
          <w:rFonts w:ascii="Garamond" w:hAnsi="Garamond"/>
        </w:rPr>
        <w:t xml:space="preserve"> </w:t>
      </w:r>
      <w:r w:rsidR="000049EE" w:rsidRPr="00B21078">
        <w:rPr>
          <w:rFonts w:ascii="Garamond" w:hAnsi="Garamond"/>
        </w:rPr>
        <w:t xml:space="preserve">a “lost rally” cost, since a targeted leader that de-escalates a crisis will not capture the public support they could </w:t>
      </w:r>
      <w:r w:rsidR="008423C4">
        <w:rPr>
          <w:rFonts w:ascii="Garamond" w:hAnsi="Garamond"/>
        </w:rPr>
        <w:t xml:space="preserve">have </w:t>
      </w:r>
      <w:r w:rsidR="000049EE" w:rsidRPr="00B21078">
        <w:rPr>
          <w:rFonts w:ascii="Garamond" w:hAnsi="Garamond"/>
        </w:rPr>
        <w:t xml:space="preserve">if they had escalated. </w:t>
      </w:r>
    </w:p>
    <w:p w14:paraId="14B9C153" w14:textId="77777777" w:rsidR="00C8547F" w:rsidRPr="006B61B8" w:rsidRDefault="00C8547F" w:rsidP="00C8547F">
      <w:pPr>
        <w:spacing w:line="480" w:lineRule="auto"/>
        <w:rPr>
          <w:rFonts w:ascii="Garamond" w:hAnsi="Garamond"/>
          <w:i/>
        </w:rPr>
      </w:pPr>
    </w:p>
    <w:p w14:paraId="6C64F023" w14:textId="4AE9CDD1" w:rsidR="00370A87" w:rsidRPr="006B61B8" w:rsidRDefault="00B56F68" w:rsidP="00C8547F">
      <w:pPr>
        <w:spacing w:line="480" w:lineRule="auto"/>
        <w:rPr>
          <w:rFonts w:ascii="Garamond" w:hAnsi="Garamond"/>
          <w:i/>
        </w:rPr>
      </w:pPr>
      <w:r w:rsidRPr="006B61B8">
        <w:rPr>
          <w:rFonts w:ascii="Garamond" w:hAnsi="Garamond"/>
          <w:i/>
        </w:rPr>
        <w:t xml:space="preserve">H1: </w:t>
      </w:r>
      <w:r w:rsidR="00D46DE3" w:rsidRPr="000009EF">
        <w:rPr>
          <w:rFonts w:ascii="Garamond" w:hAnsi="Garamond"/>
          <w:i/>
          <w:iCs/>
        </w:rPr>
        <w:t xml:space="preserve">Individuals will be </w:t>
      </w:r>
      <w:r w:rsidR="00D46DE3" w:rsidRPr="00DD1ED1">
        <w:rPr>
          <w:rFonts w:ascii="Garamond" w:hAnsi="Garamond"/>
          <w:i/>
          <w:iCs/>
        </w:rPr>
        <w:t>more s</w:t>
      </w:r>
      <w:r w:rsidR="00D46DE3" w:rsidRPr="006B61B8">
        <w:rPr>
          <w:rFonts w:ascii="Garamond" w:hAnsi="Garamond"/>
          <w:i/>
          <w:iCs/>
        </w:rPr>
        <w:t xml:space="preserve">upportive of escalatory </w:t>
      </w:r>
      <w:r w:rsidR="00D46DE3" w:rsidRPr="000009EF">
        <w:rPr>
          <w:rFonts w:ascii="Garamond" w:hAnsi="Garamond"/>
          <w:i/>
          <w:iCs/>
        </w:rPr>
        <w:t>decision</w:t>
      </w:r>
      <w:r w:rsidR="00D46DE3" w:rsidRPr="006B61B8">
        <w:rPr>
          <w:rFonts w:ascii="Garamond" w:hAnsi="Garamond"/>
          <w:i/>
          <w:iCs/>
        </w:rPr>
        <w:t>s</w:t>
      </w:r>
      <w:r w:rsidR="00D46DE3" w:rsidRPr="000009EF">
        <w:rPr>
          <w:rFonts w:ascii="Garamond" w:hAnsi="Garamond"/>
          <w:i/>
          <w:iCs/>
        </w:rPr>
        <w:t xml:space="preserve"> t</w:t>
      </w:r>
      <w:r w:rsidR="00D46DE3" w:rsidRPr="006B61B8">
        <w:rPr>
          <w:rFonts w:ascii="Garamond" w:hAnsi="Garamond"/>
          <w:i/>
          <w:iCs/>
        </w:rPr>
        <w:t xml:space="preserve">aken by leaders </w:t>
      </w:r>
      <w:r w:rsidR="00DF2871" w:rsidRPr="006B61B8">
        <w:rPr>
          <w:rFonts w:ascii="Garamond" w:hAnsi="Garamond"/>
          <w:i/>
          <w:iCs/>
        </w:rPr>
        <w:t xml:space="preserve">of target states </w:t>
      </w:r>
      <w:r w:rsidR="00C8547F" w:rsidRPr="006B61B8">
        <w:rPr>
          <w:rFonts w:ascii="Garamond" w:hAnsi="Garamond"/>
          <w:i/>
          <w:iCs/>
        </w:rPr>
        <w:t xml:space="preserve">following provocation </w:t>
      </w:r>
      <w:r w:rsidR="00D46DE3" w:rsidRPr="006B61B8">
        <w:rPr>
          <w:rFonts w:ascii="Garamond" w:hAnsi="Garamond"/>
          <w:i/>
          <w:iCs/>
        </w:rPr>
        <w:t>than de-escalatory decisions</w:t>
      </w:r>
      <w:r w:rsidR="009F2201" w:rsidRPr="006B61B8">
        <w:rPr>
          <w:rFonts w:ascii="Garamond" w:hAnsi="Garamond"/>
          <w:i/>
          <w:iCs/>
        </w:rPr>
        <w:t>.</w:t>
      </w:r>
      <w:r w:rsidR="00D46DE3" w:rsidRPr="000009EF">
        <w:rPr>
          <w:rFonts w:ascii="Garamond" w:hAnsi="Garamond"/>
          <w:i/>
          <w:iCs/>
        </w:rPr>
        <w:t xml:space="preserve"> </w:t>
      </w:r>
      <w:r w:rsidR="00A56141" w:rsidRPr="006B61B8">
        <w:rPr>
          <w:rFonts w:ascii="Garamond" w:hAnsi="Garamond"/>
          <w:i/>
        </w:rPr>
        <w:t xml:space="preserve"> </w:t>
      </w:r>
    </w:p>
    <w:p w14:paraId="7E398760" w14:textId="77777777" w:rsidR="000049EE" w:rsidRPr="00B21078" w:rsidRDefault="000049EE">
      <w:pPr>
        <w:spacing w:line="480" w:lineRule="auto"/>
        <w:rPr>
          <w:rFonts w:ascii="Garamond" w:hAnsi="Garamond"/>
          <w:b/>
        </w:rPr>
      </w:pPr>
    </w:p>
    <w:p w14:paraId="6897A37A" w14:textId="57B63984" w:rsidR="00F63276" w:rsidRPr="00B21078" w:rsidRDefault="00024D4B">
      <w:pPr>
        <w:spacing w:line="480" w:lineRule="auto"/>
        <w:rPr>
          <w:rFonts w:ascii="Garamond" w:hAnsi="Garamond"/>
          <w:i/>
        </w:rPr>
      </w:pPr>
      <w:r>
        <w:rPr>
          <w:rFonts w:ascii="Garamond" w:hAnsi="Garamond"/>
          <w:i/>
        </w:rPr>
        <w:t>Civil-Military Relations</w:t>
      </w:r>
      <w:r w:rsidR="000F3FFB" w:rsidRPr="00B21078">
        <w:rPr>
          <w:rFonts w:ascii="Garamond" w:hAnsi="Garamond"/>
          <w:i/>
        </w:rPr>
        <w:t xml:space="preserve"> and </w:t>
      </w:r>
      <w:r w:rsidR="008F123D">
        <w:rPr>
          <w:rFonts w:ascii="Garamond" w:hAnsi="Garamond"/>
          <w:i/>
        </w:rPr>
        <w:t>Public Opinion</w:t>
      </w:r>
    </w:p>
    <w:p w14:paraId="3599968F" w14:textId="6A108879" w:rsidR="008F123D" w:rsidRDefault="000F3FFB">
      <w:pPr>
        <w:spacing w:line="480" w:lineRule="auto"/>
        <w:rPr>
          <w:rFonts w:ascii="Garamond" w:hAnsi="Garamond"/>
        </w:rPr>
      </w:pPr>
      <w:r w:rsidRPr="00B21078">
        <w:rPr>
          <w:rFonts w:ascii="Garamond" w:hAnsi="Garamond"/>
        </w:rPr>
        <w:tab/>
      </w:r>
      <w:r w:rsidR="0063670E">
        <w:rPr>
          <w:rFonts w:ascii="Garamond" w:hAnsi="Garamond"/>
        </w:rPr>
        <w:t>If publics put pressures on their leaders, they</w:t>
      </w:r>
      <w:r w:rsidRPr="00B21078">
        <w:rPr>
          <w:rFonts w:ascii="Garamond" w:hAnsi="Garamond"/>
        </w:rPr>
        <w:t xml:space="preserve"> </w:t>
      </w:r>
      <w:r w:rsidR="00024D4B">
        <w:rPr>
          <w:rFonts w:ascii="Garamond" w:hAnsi="Garamond"/>
        </w:rPr>
        <w:t>need</w:t>
      </w:r>
      <w:r w:rsidR="00024D4B" w:rsidRPr="00B21078">
        <w:rPr>
          <w:rFonts w:ascii="Garamond" w:hAnsi="Garamond"/>
        </w:rPr>
        <w:t xml:space="preserve"> </w:t>
      </w:r>
      <w:r w:rsidRPr="00B21078">
        <w:rPr>
          <w:rFonts w:ascii="Garamond" w:hAnsi="Garamond"/>
        </w:rPr>
        <w:t xml:space="preserve">not treat all leaders equally, and </w:t>
      </w:r>
      <w:r w:rsidR="00B46CA8">
        <w:rPr>
          <w:rFonts w:ascii="Garamond" w:hAnsi="Garamond"/>
        </w:rPr>
        <w:t xml:space="preserve">they </w:t>
      </w:r>
      <w:r w:rsidRPr="00B21078">
        <w:rPr>
          <w:rFonts w:ascii="Garamond" w:hAnsi="Garamond"/>
        </w:rPr>
        <w:t xml:space="preserve">may be inclined to </w:t>
      </w:r>
      <w:r w:rsidR="00024D4B">
        <w:rPr>
          <w:rFonts w:ascii="Garamond" w:hAnsi="Garamond"/>
        </w:rPr>
        <w:t xml:space="preserve">give some types of leaders greater latitude to pursue certain policy courses. </w:t>
      </w:r>
      <w:r w:rsidR="002854B2">
        <w:rPr>
          <w:rFonts w:ascii="Garamond" w:hAnsi="Garamond"/>
        </w:rPr>
        <w:t>For example—and particularly in hybrid contexts—</w:t>
      </w:r>
      <w:r w:rsidR="00026ED0">
        <w:rPr>
          <w:rFonts w:ascii="Garamond" w:hAnsi="Garamond"/>
        </w:rPr>
        <w:t xml:space="preserve">military leaders may be </w:t>
      </w:r>
      <w:r w:rsidR="00024D4B">
        <w:rPr>
          <w:rFonts w:ascii="Garamond" w:hAnsi="Garamond"/>
        </w:rPr>
        <w:t>accorded greater scope for action by public observers than civilian leaders, since the military has unique</w:t>
      </w:r>
      <w:r w:rsidR="00256547" w:rsidRPr="00B21078">
        <w:rPr>
          <w:rFonts w:ascii="Garamond" w:hAnsi="Garamond"/>
        </w:rPr>
        <w:t xml:space="preserve"> “policy credibility”</w:t>
      </w:r>
      <w:r w:rsidR="00132941">
        <w:rPr>
          <w:rFonts w:ascii="Garamond" w:hAnsi="Garamond"/>
        </w:rPr>
        <w:t xml:space="preserve"> (</w:t>
      </w:r>
      <w:r w:rsidR="00132941" w:rsidRPr="0057038A">
        <w:rPr>
          <w:rFonts w:ascii="Garamond" w:hAnsi="Garamond"/>
        </w:rPr>
        <w:t>Cukierman and Tommasi 1998; Cowen and Sutter 1998; Mattes and Weeks 2018</w:t>
      </w:r>
      <w:r w:rsidR="00132941">
        <w:rPr>
          <w:rFonts w:ascii="Garamond" w:hAnsi="Garamond"/>
        </w:rPr>
        <w:t>)</w:t>
      </w:r>
      <w:r w:rsidR="00256547" w:rsidRPr="00B21078">
        <w:rPr>
          <w:rFonts w:ascii="Garamond" w:hAnsi="Garamond"/>
        </w:rPr>
        <w:t xml:space="preserve"> </w:t>
      </w:r>
      <w:r w:rsidR="00024D4B">
        <w:rPr>
          <w:rFonts w:ascii="Garamond" w:hAnsi="Garamond"/>
        </w:rPr>
        <w:t xml:space="preserve">on decisions relating to armed conflict given </w:t>
      </w:r>
      <w:r w:rsidR="000F7998">
        <w:rPr>
          <w:rFonts w:ascii="Garamond" w:hAnsi="Garamond"/>
        </w:rPr>
        <w:t>the</w:t>
      </w:r>
      <w:r w:rsidR="00FA5EA5">
        <w:rPr>
          <w:rFonts w:ascii="Garamond" w:hAnsi="Garamond"/>
        </w:rPr>
        <w:t xml:space="preserve"> </w:t>
      </w:r>
      <w:r w:rsidR="008F123D">
        <w:rPr>
          <w:rFonts w:ascii="Garamond" w:hAnsi="Garamond"/>
        </w:rPr>
        <w:t>status</w:t>
      </w:r>
      <w:r w:rsidR="000F7998">
        <w:rPr>
          <w:rFonts w:ascii="Garamond" w:hAnsi="Garamond"/>
        </w:rPr>
        <w:t xml:space="preserve"> of military officers</w:t>
      </w:r>
      <w:r w:rsidR="008F123D">
        <w:rPr>
          <w:rFonts w:ascii="Garamond" w:hAnsi="Garamond"/>
        </w:rPr>
        <w:t xml:space="preserve"> as “professionals” in the “management of violence”</w:t>
      </w:r>
      <w:r w:rsidR="00702CE6">
        <w:rPr>
          <w:rFonts w:ascii="Garamond" w:hAnsi="Garamond"/>
        </w:rPr>
        <w:t xml:space="preserve"> (</w:t>
      </w:r>
      <w:r w:rsidR="00702CE6" w:rsidRPr="0057038A">
        <w:rPr>
          <w:rFonts w:ascii="Garamond" w:hAnsi="Garamond"/>
        </w:rPr>
        <w:t>Huntington 1957</w:t>
      </w:r>
      <w:r w:rsidR="00702CE6">
        <w:rPr>
          <w:rFonts w:ascii="Garamond" w:hAnsi="Garamond"/>
        </w:rPr>
        <w:t>).</w:t>
      </w:r>
      <w:r w:rsidR="00256547" w:rsidRPr="00B21078">
        <w:rPr>
          <w:rFonts w:ascii="Garamond" w:hAnsi="Garamond"/>
        </w:rPr>
        <w:t xml:space="preserve"> </w:t>
      </w:r>
      <w:r w:rsidR="00813DEB">
        <w:rPr>
          <w:rFonts w:ascii="Garamond" w:hAnsi="Garamond"/>
        </w:rPr>
        <w:t xml:space="preserve">Just like doctors </w:t>
      </w:r>
      <w:r w:rsidR="00F36CCB">
        <w:rPr>
          <w:rFonts w:ascii="Garamond" w:hAnsi="Garamond"/>
        </w:rPr>
        <w:t>making</w:t>
      </w:r>
      <w:r w:rsidR="00813DEB">
        <w:rPr>
          <w:rFonts w:ascii="Garamond" w:hAnsi="Garamond"/>
        </w:rPr>
        <w:t xml:space="preserve"> medical decisions, </w:t>
      </w:r>
      <w:r w:rsidR="005A66AE">
        <w:rPr>
          <w:rFonts w:ascii="Garamond" w:hAnsi="Garamond"/>
        </w:rPr>
        <w:t>military</w:t>
      </w:r>
      <w:r w:rsidR="005A66AE" w:rsidRPr="00B21078">
        <w:rPr>
          <w:rFonts w:ascii="Garamond" w:hAnsi="Garamond"/>
        </w:rPr>
        <w:t xml:space="preserve"> </w:t>
      </w:r>
      <w:r w:rsidR="00256547" w:rsidRPr="00B21078">
        <w:rPr>
          <w:rFonts w:ascii="Garamond" w:hAnsi="Garamond"/>
        </w:rPr>
        <w:t xml:space="preserve">leaders should </w:t>
      </w:r>
      <w:r w:rsidR="00FA5EA5">
        <w:rPr>
          <w:rFonts w:ascii="Garamond" w:hAnsi="Garamond"/>
        </w:rPr>
        <w:t xml:space="preserve">therefore </w:t>
      </w:r>
      <w:r w:rsidR="00256547" w:rsidRPr="00B21078">
        <w:rPr>
          <w:rFonts w:ascii="Garamond" w:hAnsi="Garamond"/>
        </w:rPr>
        <w:t>have unique policy credibility about matters of war and peace. If they opt to de-escalate, voters should have some confidence that the decision was taken with a full assessment of the military consequences of the alternative.</w:t>
      </w:r>
      <w:r w:rsidR="008F123D">
        <w:rPr>
          <w:rFonts w:ascii="Garamond" w:hAnsi="Garamond"/>
        </w:rPr>
        <w:t xml:space="preserve"> </w:t>
      </w:r>
      <w:r w:rsidR="000F7998">
        <w:rPr>
          <w:rFonts w:ascii="Garamond" w:hAnsi="Garamond"/>
        </w:rPr>
        <w:t xml:space="preserve">In many countries, including Pakistan, the military is more </w:t>
      </w:r>
      <w:r w:rsidR="000F7998">
        <w:rPr>
          <w:rFonts w:ascii="Garamond" w:hAnsi="Garamond"/>
        </w:rPr>
        <w:lastRenderedPageBreak/>
        <w:t xml:space="preserve">popular and accorded greater trust than other public institutions, </w:t>
      </w:r>
      <w:r w:rsidR="00813DEB">
        <w:rPr>
          <w:rFonts w:ascii="Garamond" w:hAnsi="Garamond"/>
        </w:rPr>
        <w:t xml:space="preserve">potentially generating </w:t>
      </w:r>
      <w:r w:rsidR="00F36CCB">
        <w:rPr>
          <w:rFonts w:ascii="Garamond" w:hAnsi="Garamond"/>
        </w:rPr>
        <w:t xml:space="preserve">greater </w:t>
      </w:r>
      <w:r w:rsidR="00813DEB">
        <w:rPr>
          <w:rFonts w:ascii="Garamond" w:hAnsi="Garamond"/>
        </w:rPr>
        <w:t xml:space="preserve">support for its </w:t>
      </w:r>
      <w:r w:rsidR="00F36CCB">
        <w:rPr>
          <w:rFonts w:ascii="Garamond" w:hAnsi="Garamond"/>
        </w:rPr>
        <w:t>decisions</w:t>
      </w:r>
      <w:r w:rsidR="00813DEB">
        <w:rPr>
          <w:rFonts w:ascii="Garamond" w:hAnsi="Garamond"/>
        </w:rPr>
        <w:t xml:space="preserve">. </w:t>
      </w:r>
    </w:p>
    <w:p w14:paraId="30BF4EE5" w14:textId="62E80124" w:rsidR="008F123D" w:rsidRDefault="008F123D">
      <w:pPr>
        <w:spacing w:line="480" w:lineRule="auto"/>
        <w:rPr>
          <w:rFonts w:ascii="Garamond" w:hAnsi="Garamond"/>
        </w:rPr>
      </w:pPr>
      <w:r>
        <w:rPr>
          <w:rFonts w:ascii="Garamond" w:hAnsi="Garamond"/>
        </w:rPr>
        <w:tab/>
        <w:t xml:space="preserve">Given Pakistan’s tumultuous civil-military relations, understanding whether civilian and military national leaders face asymmetric popular pressures to escalate or de-escalate conflict is important </w:t>
      </w:r>
      <w:r w:rsidR="003E60CC">
        <w:rPr>
          <w:rFonts w:ascii="Garamond" w:hAnsi="Garamond"/>
        </w:rPr>
        <w:t xml:space="preserve">for </w:t>
      </w:r>
      <w:r>
        <w:rPr>
          <w:rFonts w:ascii="Garamond" w:hAnsi="Garamond"/>
        </w:rPr>
        <w:t xml:space="preserve">understanding the link between Pakistan’s regime type and its persistent </w:t>
      </w:r>
      <w:r w:rsidR="00FD1221">
        <w:rPr>
          <w:rFonts w:ascii="Garamond" w:hAnsi="Garamond"/>
        </w:rPr>
        <w:t>international</w:t>
      </w:r>
      <w:r>
        <w:rPr>
          <w:rFonts w:ascii="Garamond" w:hAnsi="Garamond"/>
        </w:rPr>
        <w:t xml:space="preserve"> revisionis</w:t>
      </w:r>
      <w:r w:rsidR="00FD1221">
        <w:rPr>
          <w:rFonts w:ascii="Garamond" w:hAnsi="Garamond"/>
        </w:rPr>
        <w:t>m</w:t>
      </w:r>
      <w:r>
        <w:rPr>
          <w:rFonts w:ascii="Garamond" w:hAnsi="Garamond"/>
        </w:rPr>
        <w:t>. If the military is accorded special deference to escalate or de-escalate</w:t>
      </w:r>
      <w:r w:rsidR="00F0064F">
        <w:rPr>
          <w:rFonts w:ascii="Garamond" w:hAnsi="Garamond"/>
        </w:rPr>
        <w:t>,</w:t>
      </w:r>
      <w:r>
        <w:rPr>
          <w:rFonts w:ascii="Garamond" w:hAnsi="Garamond"/>
        </w:rPr>
        <w:t xml:space="preserve"> </w:t>
      </w:r>
      <w:r w:rsidR="00F0064F">
        <w:rPr>
          <w:rFonts w:ascii="Garamond" w:hAnsi="Garamond"/>
        </w:rPr>
        <w:t xml:space="preserve">then </w:t>
      </w:r>
      <w:r>
        <w:rPr>
          <w:rFonts w:ascii="Garamond" w:hAnsi="Garamond"/>
        </w:rPr>
        <w:t>conflictual behavior can be understood, especially during periods of military rule, as primarily a function of military preferences, flowing perhaps from the military’s parochial interest in conflict</w:t>
      </w:r>
      <w:r w:rsidR="00702CE6">
        <w:rPr>
          <w:rFonts w:ascii="Garamond" w:hAnsi="Garamond"/>
        </w:rPr>
        <w:t xml:space="preserve"> (</w:t>
      </w:r>
      <w:r w:rsidR="00702CE6" w:rsidRPr="0057038A">
        <w:rPr>
          <w:rFonts w:ascii="Garamond" w:hAnsi="Garamond"/>
        </w:rPr>
        <w:t>Darnton 2014</w:t>
      </w:r>
      <w:r w:rsidR="00702CE6">
        <w:rPr>
          <w:rFonts w:ascii="Garamond" w:hAnsi="Garamond"/>
        </w:rPr>
        <w:t>)</w:t>
      </w:r>
      <w:r w:rsidR="000244FB">
        <w:rPr>
          <w:rFonts w:ascii="Garamond" w:hAnsi="Garamond"/>
        </w:rPr>
        <w:t xml:space="preserve"> </w:t>
      </w:r>
      <w:r>
        <w:rPr>
          <w:rFonts w:ascii="Garamond" w:hAnsi="Garamond"/>
        </w:rPr>
        <w:t xml:space="preserve">or </w:t>
      </w:r>
      <w:r w:rsidR="0063670E">
        <w:rPr>
          <w:rFonts w:ascii="Garamond" w:hAnsi="Garamond"/>
        </w:rPr>
        <w:t xml:space="preserve">its strategic </w:t>
      </w:r>
      <w:r>
        <w:rPr>
          <w:rFonts w:ascii="Garamond" w:hAnsi="Garamond"/>
        </w:rPr>
        <w:t>culture</w:t>
      </w:r>
      <w:r w:rsidR="00702CE6">
        <w:rPr>
          <w:rFonts w:ascii="Garamond" w:hAnsi="Garamond"/>
        </w:rPr>
        <w:t xml:space="preserve"> (</w:t>
      </w:r>
      <w:r w:rsidR="00702CE6" w:rsidRPr="0057038A">
        <w:rPr>
          <w:rFonts w:ascii="Garamond" w:hAnsi="Garamond"/>
        </w:rPr>
        <w:t>Fair 2014</w:t>
      </w:r>
      <w:r w:rsidR="00702CE6">
        <w:rPr>
          <w:rFonts w:ascii="Garamond" w:hAnsi="Garamond"/>
        </w:rPr>
        <w:t>).</w:t>
      </w:r>
      <w:r>
        <w:rPr>
          <w:rFonts w:ascii="Garamond" w:hAnsi="Garamond"/>
        </w:rPr>
        <w:t xml:space="preserve"> If the military is not accorded special deference by the public, though, this </w:t>
      </w:r>
      <w:r w:rsidR="00642C7B">
        <w:rPr>
          <w:rFonts w:ascii="Garamond" w:hAnsi="Garamond"/>
        </w:rPr>
        <w:t>merits placing</w:t>
      </w:r>
      <w:r>
        <w:rPr>
          <w:rFonts w:ascii="Garamond" w:hAnsi="Garamond"/>
        </w:rPr>
        <w:t xml:space="preserve"> added weight on popular opinion</w:t>
      </w:r>
      <w:r w:rsidR="00702CE6">
        <w:rPr>
          <w:rFonts w:ascii="Garamond" w:hAnsi="Garamond"/>
        </w:rPr>
        <w:t xml:space="preserve"> (</w:t>
      </w:r>
      <w:r w:rsidR="00702CE6" w:rsidRPr="0057038A">
        <w:rPr>
          <w:rFonts w:ascii="Garamond" w:hAnsi="Garamond"/>
        </w:rPr>
        <w:t>Milam and Nelson 2013</w:t>
      </w:r>
      <w:r w:rsidR="00702CE6">
        <w:rPr>
          <w:rFonts w:ascii="Garamond" w:hAnsi="Garamond"/>
        </w:rPr>
        <w:t>)</w:t>
      </w:r>
      <w:r>
        <w:rPr>
          <w:rFonts w:ascii="Garamond" w:hAnsi="Garamond"/>
        </w:rPr>
        <w:t xml:space="preserve"> in understanding Pakistani revisionism</w:t>
      </w:r>
      <w:r w:rsidR="004B6628">
        <w:rPr>
          <w:rFonts w:ascii="Garamond" w:hAnsi="Garamond"/>
        </w:rPr>
        <w:t>.</w:t>
      </w:r>
      <w:r w:rsidR="00191123">
        <w:rPr>
          <w:rStyle w:val="FootnoteReference"/>
          <w:rFonts w:ascii="Garamond" w:hAnsi="Garamond"/>
        </w:rPr>
        <w:footnoteReference w:customMarkFollows="1" w:id="4"/>
        <w:t>4</w:t>
      </w:r>
      <w:r w:rsidR="00FA5EA5">
        <w:rPr>
          <w:rFonts w:ascii="Garamond" w:hAnsi="Garamond"/>
        </w:rPr>
        <w:t xml:space="preserve"> </w:t>
      </w:r>
    </w:p>
    <w:p w14:paraId="353A3C22" w14:textId="77777777" w:rsidR="00C8547F" w:rsidRDefault="00C8547F" w:rsidP="00841CD2">
      <w:pPr>
        <w:pStyle w:val="NormalWeb"/>
        <w:spacing w:line="480" w:lineRule="auto"/>
        <w:rPr>
          <w:rFonts w:ascii="Garamond" w:hAnsi="Garamond"/>
        </w:rPr>
      </w:pPr>
    </w:p>
    <w:p w14:paraId="1C247602" w14:textId="02D7B1DD" w:rsidR="001209AF" w:rsidRPr="00841CD2" w:rsidRDefault="001F5040" w:rsidP="00841CD2">
      <w:pPr>
        <w:pStyle w:val="NormalWeb"/>
        <w:spacing w:line="480" w:lineRule="auto"/>
        <w:rPr>
          <w:rFonts w:eastAsia="Times New Roman"/>
          <w:i/>
        </w:rPr>
      </w:pPr>
      <w:r w:rsidRPr="00841CD2">
        <w:rPr>
          <w:rFonts w:ascii="Garamond" w:hAnsi="Garamond"/>
          <w:i/>
        </w:rPr>
        <w:t>H2:</w:t>
      </w:r>
      <w:r w:rsidR="001209AF" w:rsidRPr="00841CD2">
        <w:rPr>
          <w:rFonts w:ascii="Garamond" w:hAnsi="Garamond"/>
          <w:i/>
        </w:rPr>
        <w:t xml:space="preserve"> </w:t>
      </w:r>
      <w:r w:rsidR="005A66AE">
        <w:rPr>
          <w:rFonts w:ascii="Garamond" w:hAnsi="Garamond"/>
          <w:i/>
        </w:rPr>
        <w:t>I</w:t>
      </w:r>
      <w:r w:rsidR="00C8547F" w:rsidRPr="00841CD2">
        <w:rPr>
          <w:rFonts w:ascii="Garamond" w:eastAsia="Times New Roman" w:hAnsi="Garamond"/>
          <w:i/>
          <w:iCs/>
        </w:rPr>
        <w:t>ndividuals will be</w:t>
      </w:r>
      <w:r w:rsidR="001209AF" w:rsidRPr="000009EF">
        <w:rPr>
          <w:rFonts w:ascii="Garamond" w:eastAsia="Times New Roman" w:hAnsi="Garamond"/>
          <w:i/>
          <w:iCs/>
        </w:rPr>
        <w:t xml:space="preserve"> more likely to support </w:t>
      </w:r>
      <w:r w:rsidR="0066514D" w:rsidRPr="00DD1ED1">
        <w:rPr>
          <w:rFonts w:ascii="Garamond" w:eastAsia="Times New Roman" w:hAnsi="Garamond"/>
          <w:i/>
          <w:iCs/>
        </w:rPr>
        <w:t>military</w:t>
      </w:r>
      <w:r w:rsidR="001209AF" w:rsidRPr="00DD1ED1">
        <w:rPr>
          <w:rFonts w:ascii="Garamond" w:eastAsia="Times New Roman" w:hAnsi="Garamond"/>
          <w:i/>
          <w:iCs/>
        </w:rPr>
        <w:t xml:space="preserve"> leaders </w:t>
      </w:r>
      <w:r w:rsidR="0066514D" w:rsidRPr="000009EF">
        <w:rPr>
          <w:rFonts w:ascii="Garamond" w:eastAsia="Times New Roman" w:hAnsi="Garamond"/>
          <w:i/>
          <w:iCs/>
        </w:rPr>
        <w:t>for their decisions—whether escalatory or de-escalatory—</w:t>
      </w:r>
      <w:r w:rsidR="001209AF" w:rsidRPr="000009EF">
        <w:rPr>
          <w:rFonts w:ascii="Garamond" w:eastAsia="Times New Roman" w:hAnsi="Garamond"/>
          <w:i/>
          <w:iCs/>
        </w:rPr>
        <w:t xml:space="preserve">than </w:t>
      </w:r>
      <w:r w:rsidR="0066514D" w:rsidRPr="000009EF">
        <w:rPr>
          <w:rFonts w:ascii="Garamond" w:eastAsia="Times New Roman" w:hAnsi="Garamond"/>
          <w:i/>
          <w:iCs/>
        </w:rPr>
        <w:t>civilian</w:t>
      </w:r>
      <w:r w:rsidR="001209AF" w:rsidRPr="000009EF">
        <w:rPr>
          <w:rFonts w:ascii="Garamond" w:eastAsia="Times New Roman" w:hAnsi="Garamond"/>
          <w:i/>
          <w:iCs/>
        </w:rPr>
        <w:t xml:space="preserve"> leaders</w:t>
      </w:r>
      <w:r w:rsidR="008140E7" w:rsidRPr="00841CD2">
        <w:rPr>
          <w:rFonts w:ascii="Garamond" w:eastAsia="Times New Roman" w:hAnsi="Garamond"/>
          <w:i/>
          <w:iCs/>
        </w:rPr>
        <w:t>.</w:t>
      </w:r>
      <w:r w:rsidR="001209AF" w:rsidRPr="000009EF">
        <w:rPr>
          <w:rFonts w:ascii="Garamond" w:eastAsia="Times New Roman" w:hAnsi="Garamond"/>
          <w:i/>
          <w:iCs/>
        </w:rPr>
        <w:t xml:space="preserve"> </w:t>
      </w:r>
    </w:p>
    <w:p w14:paraId="5B8B843D" w14:textId="77777777" w:rsidR="00370A87" w:rsidRDefault="00370A87">
      <w:pPr>
        <w:spacing w:line="480" w:lineRule="auto"/>
        <w:rPr>
          <w:rFonts w:ascii="Garamond" w:hAnsi="Garamond"/>
        </w:rPr>
      </w:pPr>
    </w:p>
    <w:p w14:paraId="125D0C27" w14:textId="6D8FE105" w:rsidR="00370A87" w:rsidRDefault="00370A87">
      <w:pPr>
        <w:spacing w:line="480" w:lineRule="auto"/>
        <w:rPr>
          <w:rFonts w:ascii="Garamond" w:hAnsi="Garamond"/>
        </w:rPr>
      </w:pPr>
      <w:r>
        <w:rPr>
          <w:rFonts w:ascii="Garamond" w:hAnsi="Garamond"/>
          <w:i/>
        </w:rPr>
        <w:t>Justifications and Theories of Peace</w:t>
      </w:r>
    </w:p>
    <w:p w14:paraId="530BB21D" w14:textId="54121B15" w:rsidR="00370A87" w:rsidRDefault="002128C5" w:rsidP="00702CE6">
      <w:pPr>
        <w:spacing w:line="480" w:lineRule="auto"/>
        <w:ind w:firstLine="720"/>
        <w:rPr>
          <w:rFonts w:ascii="Garamond" w:hAnsi="Garamond"/>
        </w:rPr>
      </w:pPr>
      <w:r>
        <w:rPr>
          <w:rFonts w:ascii="Garamond" w:hAnsi="Garamond"/>
        </w:rPr>
        <w:t xml:space="preserve">National leaders are not forced to merely read the script provided to them by international events. If they back down in a crisis, they do not need to </w:t>
      </w:r>
      <w:r w:rsidR="008B0656">
        <w:rPr>
          <w:rFonts w:ascii="Garamond" w:hAnsi="Garamond"/>
        </w:rPr>
        <w:t>do</w:t>
      </w:r>
      <w:r>
        <w:rPr>
          <w:rFonts w:ascii="Garamond" w:hAnsi="Garamond"/>
        </w:rPr>
        <w:t xml:space="preserve"> so without </w:t>
      </w:r>
      <w:r w:rsidR="008B0656">
        <w:rPr>
          <w:rFonts w:ascii="Garamond" w:hAnsi="Garamond"/>
        </w:rPr>
        <w:t>explanation</w:t>
      </w:r>
      <w:r>
        <w:rPr>
          <w:rFonts w:ascii="Garamond" w:hAnsi="Garamond"/>
        </w:rPr>
        <w:t>. Rather, they have the ability to explain their choices, providing information</w:t>
      </w:r>
      <w:r w:rsidR="00A9246D">
        <w:rPr>
          <w:rFonts w:ascii="Garamond" w:hAnsi="Garamond"/>
        </w:rPr>
        <w:t xml:space="preserve"> and rhetoric</w:t>
      </w:r>
      <w:r>
        <w:rPr>
          <w:rFonts w:ascii="Garamond" w:hAnsi="Garamond"/>
        </w:rPr>
        <w:t xml:space="preserve"> to voters </w:t>
      </w:r>
      <w:r w:rsidR="00A9246D">
        <w:rPr>
          <w:rFonts w:ascii="Garamond" w:hAnsi="Garamond"/>
        </w:rPr>
        <w:t xml:space="preserve">to </w:t>
      </w:r>
      <w:r>
        <w:rPr>
          <w:rFonts w:ascii="Garamond" w:hAnsi="Garamond"/>
        </w:rPr>
        <w:t xml:space="preserve">frame their </w:t>
      </w:r>
      <w:r>
        <w:rPr>
          <w:rFonts w:ascii="Garamond" w:hAnsi="Garamond"/>
        </w:rPr>
        <w:lastRenderedPageBreak/>
        <w:t>decision in the best light. Voters know that in some cases backing down may be strategically optima</w:t>
      </w:r>
      <w:r w:rsidR="0078443B">
        <w:rPr>
          <w:rFonts w:ascii="Garamond" w:hAnsi="Garamond"/>
        </w:rPr>
        <w:t>l</w:t>
      </w:r>
      <w:r w:rsidR="00702CE6">
        <w:rPr>
          <w:rFonts w:ascii="Garamond" w:hAnsi="Garamond"/>
        </w:rPr>
        <w:t xml:space="preserve"> (</w:t>
      </w:r>
      <w:r w:rsidR="00702CE6" w:rsidRPr="0057038A">
        <w:rPr>
          <w:rFonts w:ascii="Garamond" w:hAnsi="Garamond"/>
        </w:rPr>
        <w:t>Gowa 1999</w:t>
      </w:r>
      <w:r w:rsidR="00702CE6">
        <w:rPr>
          <w:rFonts w:ascii="Garamond" w:hAnsi="Garamond"/>
        </w:rPr>
        <w:t>)</w:t>
      </w:r>
      <w:r>
        <w:rPr>
          <w:rFonts w:ascii="Garamond" w:hAnsi="Garamond"/>
        </w:rPr>
        <w:t xml:space="preserve">. Levendusky and Horowitz </w:t>
      </w:r>
      <w:r w:rsidR="005A66AE">
        <w:rPr>
          <w:rFonts w:ascii="Garamond" w:hAnsi="Garamond"/>
        </w:rPr>
        <w:t xml:space="preserve">(2012, 329) </w:t>
      </w:r>
      <w:r>
        <w:rPr>
          <w:rFonts w:ascii="Garamond" w:hAnsi="Garamond"/>
        </w:rPr>
        <w:t>show that when respondents are given a scenario where a leader offers new information to justify the strategic wisdom of backing down in a crisis, approval for that course of action dramatically increases, so much so that “</w:t>
      </w:r>
      <w:r w:rsidRPr="002128C5">
        <w:rPr>
          <w:rFonts w:ascii="Garamond" w:hAnsi="Garamond"/>
        </w:rPr>
        <w:t>the president can substantially</w:t>
      </w:r>
      <w:r>
        <w:rPr>
          <w:rFonts w:ascii="Garamond" w:hAnsi="Garamond"/>
        </w:rPr>
        <w:t xml:space="preserve"> </w:t>
      </w:r>
      <w:r w:rsidRPr="002128C5">
        <w:rPr>
          <w:rFonts w:ascii="Garamond" w:hAnsi="Garamond"/>
        </w:rPr>
        <w:t>reduce or even eliminate any audience costs when</w:t>
      </w:r>
      <w:r>
        <w:rPr>
          <w:rFonts w:ascii="Garamond" w:hAnsi="Garamond"/>
        </w:rPr>
        <w:t xml:space="preserve"> </w:t>
      </w:r>
      <w:r w:rsidRPr="002128C5">
        <w:rPr>
          <w:rFonts w:ascii="Garamond" w:hAnsi="Garamond"/>
        </w:rPr>
        <w:t>backing down appears to be the right move</w:t>
      </w:r>
      <w:r w:rsidR="005A66AE">
        <w:rPr>
          <w:rFonts w:ascii="Garamond" w:hAnsi="Garamond"/>
        </w:rPr>
        <w:t>.</w:t>
      </w:r>
      <w:r>
        <w:rPr>
          <w:rFonts w:ascii="Garamond" w:hAnsi="Garamond"/>
        </w:rPr>
        <w:t>”</w:t>
      </w:r>
    </w:p>
    <w:p w14:paraId="5ADBD576" w14:textId="61783219" w:rsidR="00FA297A" w:rsidRPr="007A5EB9" w:rsidRDefault="00F80FA8" w:rsidP="007A5EB9">
      <w:pPr>
        <w:spacing w:before="100" w:beforeAutospacing="1" w:after="100" w:afterAutospacing="1" w:line="480" w:lineRule="auto"/>
        <w:rPr>
          <w:rFonts w:ascii="Times New Roman" w:eastAsia="Times New Roman" w:hAnsi="Times New Roman" w:cs="Times New Roman"/>
          <w:i/>
        </w:rPr>
      </w:pPr>
      <w:r w:rsidRPr="007A5EB9">
        <w:rPr>
          <w:rFonts w:ascii="Garamond" w:eastAsia="Times New Roman" w:hAnsi="Garamond" w:cs="Times New Roman"/>
          <w:i/>
          <w:iCs/>
        </w:rPr>
        <w:t>H3: Individuals that receive</w:t>
      </w:r>
      <w:r w:rsidR="00FA297A" w:rsidRPr="000009EF">
        <w:rPr>
          <w:rFonts w:ascii="Garamond" w:eastAsia="Times New Roman" w:hAnsi="Garamond" w:cs="Times New Roman"/>
          <w:i/>
          <w:iCs/>
        </w:rPr>
        <w:t xml:space="preserve"> justifications for the </w:t>
      </w:r>
      <w:r w:rsidR="009F7F50" w:rsidRPr="000009EF">
        <w:rPr>
          <w:rFonts w:ascii="Garamond" w:eastAsia="Times New Roman" w:hAnsi="Garamond" w:cs="Times New Roman"/>
          <w:i/>
          <w:iCs/>
        </w:rPr>
        <w:t xml:space="preserve">leader’s </w:t>
      </w:r>
      <w:r w:rsidR="00FA297A" w:rsidRPr="000009EF">
        <w:rPr>
          <w:rFonts w:ascii="Garamond" w:eastAsia="Times New Roman" w:hAnsi="Garamond" w:cs="Times New Roman"/>
          <w:i/>
          <w:iCs/>
        </w:rPr>
        <w:t xml:space="preserve">decision </w:t>
      </w:r>
      <w:r w:rsidR="009F7F50" w:rsidRPr="004C3BD4">
        <w:rPr>
          <w:rFonts w:ascii="Garamond" w:eastAsia="Times New Roman" w:hAnsi="Garamond" w:cs="Times New Roman"/>
          <w:i/>
          <w:iCs/>
        </w:rPr>
        <w:t xml:space="preserve">to de-escalate </w:t>
      </w:r>
      <w:r w:rsidR="00FA297A" w:rsidRPr="00DD1ED1">
        <w:rPr>
          <w:rFonts w:ascii="Garamond" w:eastAsia="Times New Roman" w:hAnsi="Garamond" w:cs="Times New Roman"/>
          <w:i/>
          <w:iCs/>
        </w:rPr>
        <w:t>will be more supportive of the decision than those that do not</w:t>
      </w:r>
      <w:r w:rsidR="00191123" w:rsidRPr="007A5EB9">
        <w:rPr>
          <w:rFonts w:ascii="Garamond" w:eastAsia="Times New Roman" w:hAnsi="Garamond" w:cs="Times New Roman"/>
          <w:i/>
          <w:iCs/>
        </w:rPr>
        <w:t xml:space="preserve"> receive any justification. </w:t>
      </w:r>
      <w:r w:rsidR="00FA297A" w:rsidRPr="000009EF">
        <w:rPr>
          <w:rFonts w:ascii="Garamond" w:eastAsia="Times New Roman" w:hAnsi="Garamond" w:cs="Times New Roman"/>
          <w:i/>
          <w:iCs/>
        </w:rPr>
        <w:t xml:space="preserve"> </w:t>
      </w:r>
    </w:p>
    <w:p w14:paraId="5B26C40B" w14:textId="5744885D" w:rsidR="00F80FA8" w:rsidRDefault="00491854" w:rsidP="00702CE6">
      <w:pPr>
        <w:spacing w:line="480" w:lineRule="auto"/>
        <w:ind w:firstLine="720"/>
        <w:rPr>
          <w:rFonts w:ascii="Garamond" w:hAnsi="Garamond"/>
        </w:rPr>
      </w:pPr>
      <w:r>
        <w:rPr>
          <w:rFonts w:ascii="Garamond" w:hAnsi="Garamond"/>
        </w:rPr>
        <w:t>In our experiment, w</w:t>
      </w:r>
      <w:r w:rsidR="002128C5">
        <w:rPr>
          <w:rFonts w:ascii="Garamond" w:hAnsi="Garamond"/>
        </w:rPr>
        <w:t>e test whether justifications associated with two well-known theories of peace</w:t>
      </w:r>
      <w:r w:rsidR="006601DB">
        <w:rPr>
          <w:rFonts w:ascii="Garamond" w:hAnsi="Garamond"/>
        </w:rPr>
        <w:t xml:space="preserve"> mitigate public sanction (or increase approval) for de-escalation in the context of a hypothetical India-Pakistan crisis. First, we test whether the public will respond to leaders explaining the choice as a way to preserve economic growth and prosperity. Such appeals may be persuasive given the strong empirical relationship of economic concerns with political support, a relationship that is arguably stronger than leader performance in international affairs</w:t>
      </w:r>
      <w:r w:rsidR="00702CE6">
        <w:rPr>
          <w:rFonts w:ascii="Garamond" w:hAnsi="Garamond"/>
        </w:rPr>
        <w:t xml:space="preserve"> (</w:t>
      </w:r>
      <w:r w:rsidR="00702CE6" w:rsidRPr="0057038A">
        <w:rPr>
          <w:rFonts w:ascii="Garamond" w:hAnsi="Garamond"/>
        </w:rPr>
        <w:t>Wilkin, Haller, and Norpoth 1997; Lewis-Beck and Stegmaier 2000</w:t>
      </w:r>
      <w:r w:rsidR="00702CE6">
        <w:rPr>
          <w:rFonts w:ascii="Garamond" w:hAnsi="Garamond"/>
        </w:rPr>
        <w:t>)</w:t>
      </w:r>
      <w:r w:rsidR="004D559B">
        <w:rPr>
          <w:rFonts w:ascii="Garamond" w:hAnsi="Garamond"/>
        </w:rPr>
        <w:t>.</w:t>
      </w:r>
      <w:r w:rsidR="006601DB">
        <w:rPr>
          <w:rFonts w:ascii="Garamond" w:hAnsi="Garamond"/>
        </w:rPr>
        <w:t xml:space="preserve"> By manipulating the salience of this rationale, we can help distinguish if there is an additional mechanism of public support that might buttress findings of a capitalist peace undergirded by economic interdependence</w:t>
      </w:r>
      <w:r w:rsidR="00702CE6">
        <w:rPr>
          <w:rFonts w:ascii="Garamond" w:hAnsi="Garamond"/>
        </w:rPr>
        <w:t xml:space="preserve"> (</w:t>
      </w:r>
      <w:r w:rsidR="00702CE6" w:rsidRPr="0057038A">
        <w:rPr>
          <w:rFonts w:ascii="Garamond" w:hAnsi="Garamond"/>
        </w:rPr>
        <w:t>Angell 1910; Brooks 2005; Gartzke 2007</w:t>
      </w:r>
      <w:r w:rsidR="00702CE6">
        <w:rPr>
          <w:rFonts w:ascii="Garamond" w:hAnsi="Garamond"/>
        </w:rPr>
        <w:t>)</w:t>
      </w:r>
      <w:r w:rsidR="00D51713">
        <w:rPr>
          <w:rFonts w:ascii="Garamond" w:hAnsi="Garamond"/>
        </w:rPr>
        <w:t>.</w:t>
      </w:r>
      <w:r w:rsidR="008F123D">
        <w:rPr>
          <w:rFonts w:ascii="Garamond" w:hAnsi="Garamond"/>
        </w:rPr>
        <w:t xml:space="preserve"> Such </w:t>
      </w:r>
      <w:r w:rsidR="0028745C">
        <w:rPr>
          <w:rFonts w:ascii="Garamond" w:hAnsi="Garamond"/>
        </w:rPr>
        <w:t xml:space="preserve">economic logic </w:t>
      </w:r>
      <w:r w:rsidR="006835D0">
        <w:rPr>
          <w:rFonts w:ascii="Garamond" w:hAnsi="Garamond"/>
        </w:rPr>
        <w:t xml:space="preserve">and appeals </w:t>
      </w:r>
      <w:r w:rsidR="0028745C">
        <w:rPr>
          <w:rFonts w:ascii="Garamond" w:hAnsi="Garamond"/>
        </w:rPr>
        <w:t>ha</w:t>
      </w:r>
      <w:r w:rsidR="006835D0">
        <w:rPr>
          <w:rFonts w:ascii="Garamond" w:hAnsi="Garamond"/>
        </w:rPr>
        <w:t>ve</w:t>
      </w:r>
      <w:r w:rsidR="0028745C">
        <w:rPr>
          <w:rFonts w:ascii="Garamond" w:hAnsi="Garamond"/>
        </w:rPr>
        <w:t xml:space="preserve"> been employed </w:t>
      </w:r>
      <w:r w:rsidR="0037662D">
        <w:rPr>
          <w:rFonts w:ascii="Garamond" w:hAnsi="Garamond"/>
        </w:rPr>
        <w:t xml:space="preserve">by </w:t>
      </w:r>
      <w:r w:rsidR="006835D0">
        <w:rPr>
          <w:rFonts w:ascii="Garamond" w:hAnsi="Garamond"/>
        </w:rPr>
        <w:t xml:space="preserve">Indian and Pakistani leaders </w:t>
      </w:r>
      <w:r w:rsidR="0028745C">
        <w:rPr>
          <w:rFonts w:ascii="Garamond" w:hAnsi="Garamond"/>
        </w:rPr>
        <w:t xml:space="preserve">to justify restraint </w:t>
      </w:r>
      <w:r w:rsidR="006835D0">
        <w:rPr>
          <w:rFonts w:ascii="Garamond" w:hAnsi="Garamond"/>
        </w:rPr>
        <w:t>(</w:t>
      </w:r>
      <w:r w:rsidR="0028745C">
        <w:rPr>
          <w:rFonts w:ascii="Garamond" w:hAnsi="Garamond"/>
        </w:rPr>
        <w:t>in the face of provocations</w:t>
      </w:r>
      <w:r w:rsidR="006835D0">
        <w:rPr>
          <w:rFonts w:ascii="Garamond" w:hAnsi="Garamond"/>
        </w:rPr>
        <w:t xml:space="preserve">), dialogue, and </w:t>
      </w:r>
      <w:r w:rsidR="004B5A98">
        <w:rPr>
          <w:rFonts w:ascii="Garamond" w:hAnsi="Garamond"/>
        </w:rPr>
        <w:t xml:space="preserve">efforts at </w:t>
      </w:r>
      <w:r w:rsidR="006835D0">
        <w:rPr>
          <w:rFonts w:ascii="Garamond" w:hAnsi="Garamond"/>
        </w:rPr>
        <w:t>peace</w:t>
      </w:r>
      <w:r w:rsidR="00702CE6">
        <w:rPr>
          <w:rFonts w:ascii="Garamond" w:hAnsi="Garamond"/>
        </w:rPr>
        <w:t xml:space="preserve"> (Menon 2016, 64, 73; Musharraf</w:t>
      </w:r>
      <w:r w:rsidR="00702CE6" w:rsidRPr="0057038A">
        <w:rPr>
          <w:rFonts w:ascii="Garamond" w:hAnsi="Garamond"/>
        </w:rPr>
        <w:t xml:space="preserve"> 2004</w:t>
      </w:r>
      <w:r w:rsidR="00702CE6">
        <w:rPr>
          <w:rFonts w:ascii="Garamond" w:hAnsi="Garamond"/>
        </w:rPr>
        <w:t>).</w:t>
      </w:r>
    </w:p>
    <w:p w14:paraId="60C5D348" w14:textId="294667A0" w:rsidR="006601DB" w:rsidRDefault="00DD749F" w:rsidP="007A5EB9">
      <w:pPr>
        <w:spacing w:line="480" w:lineRule="auto"/>
        <w:rPr>
          <w:rFonts w:ascii="Garamond" w:hAnsi="Garamond"/>
        </w:rPr>
      </w:pPr>
      <w:r>
        <w:rPr>
          <w:rFonts w:ascii="Garamond" w:hAnsi="Garamond"/>
        </w:rPr>
        <w:tab/>
      </w:r>
      <w:r w:rsidR="006601DB">
        <w:rPr>
          <w:rFonts w:ascii="Garamond" w:hAnsi="Garamond"/>
        </w:rPr>
        <w:t xml:space="preserve">Secondly, </w:t>
      </w:r>
      <w:r w:rsidR="00427B70">
        <w:rPr>
          <w:rFonts w:ascii="Garamond" w:hAnsi="Garamond"/>
        </w:rPr>
        <w:t>our</w:t>
      </w:r>
      <w:r w:rsidR="008F123D">
        <w:rPr>
          <w:rFonts w:ascii="Garamond" w:hAnsi="Garamond"/>
        </w:rPr>
        <w:t xml:space="preserve"> </w:t>
      </w:r>
      <w:r w:rsidR="00642C7B">
        <w:rPr>
          <w:rFonts w:ascii="Garamond" w:hAnsi="Garamond"/>
        </w:rPr>
        <w:t xml:space="preserve">hypothetical </w:t>
      </w:r>
      <w:r w:rsidR="006601DB">
        <w:rPr>
          <w:rFonts w:ascii="Garamond" w:hAnsi="Garamond"/>
        </w:rPr>
        <w:t xml:space="preserve">civilian leaders explain </w:t>
      </w:r>
      <w:r w:rsidR="004A38CF">
        <w:rPr>
          <w:rFonts w:ascii="Garamond" w:hAnsi="Garamond"/>
        </w:rPr>
        <w:t>their de-escalatory decision</w:t>
      </w:r>
      <w:r w:rsidR="006601DB">
        <w:rPr>
          <w:rFonts w:ascii="Garamond" w:hAnsi="Garamond"/>
        </w:rPr>
        <w:t xml:space="preserve"> in terms of fears of nuclear escalation. If leaders are extraordinarily cautious in the presence of nuclear weapons, as so-called nuclear deterrence optimists have argued</w:t>
      </w:r>
      <w:r w:rsidR="0089653F">
        <w:rPr>
          <w:rFonts w:ascii="Garamond" w:hAnsi="Garamond"/>
        </w:rPr>
        <w:t xml:space="preserve"> (</w:t>
      </w:r>
      <w:r w:rsidR="0089653F" w:rsidRPr="0057038A">
        <w:rPr>
          <w:rFonts w:ascii="Garamond" w:hAnsi="Garamond"/>
        </w:rPr>
        <w:t xml:space="preserve">Waltz 1981; Jervis 1989; Sagan and Waltz </w:t>
      </w:r>
      <w:r w:rsidR="0089653F" w:rsidRPr="0057038A">
        <w:rPr>
          <w:rFonts w:ascii="Garamond" w:hAnsi="Garamond"/>
        </w:rPr>
        <w:lastRenderedPageBreak/>
        <w:t>2013</w:t>
      </w:r>
      <w:r w:rsidR="0089653F">
        <w:rPr>
          <w:rFonts w:ascii="Garamond" w:hAnsi="Garamond"/>
        </w:rPr>
        <w:t>)</w:t>
      </w:r>
      <w:r w:rsidR="006601DB">
        <w:rPr>
          <w:rFonts w:ascii="Garamond" w:hAnsi="Garamond"/>
        </w:rPr>
        <w:t xml:space="preserve"> or if nuclear use is associated with a moral taboo</w:t>
      </w:r>
      <w:r w:rsidR="0089653F">
        <w:rPr>
          <w:rFonts w:ascii="Garamond" w:hAnsi="Garamond"/>
        </w:rPr>
        <w:t xml:space="preserve"> (</w:t>
      </w:r>
      <w:r w:rsidR="0089653F" w:rsidRPr="0057038A">
        <w:rPr>
          <w:rFonts w:ascii="Garamond" w:hAnsi="Garamond"/>
        </w:rPr>
        <w:t>Tannenwald 2007</w:t>
      </w:r>
      <w:r w:rsidR="0089653F">
        <w:rPr>
          <w:rFonts w:ascii="Garamond" w:hAnsi="Garamond"/>
        </w:rPr>
        <w:t>)</w:t>
      </w:r>
      <w:r w:rsidR="00EA1B97">
        <w:rPr>
          <w:rFonts w:ascii="Garamond" w:hAnsi="Garamond"/>
        </w:rPr>
        <w:t>,</w:t>
      </w:r>
      <w:r w:rsidR="006601DB">
        <w:rPr>
          <w:rFonts w:ascii="Garamond" w:hAnsi="Garamond"/>
        </w:rPr>
        <w:t xml:space="preserve"> it is reasonable to suspect that mass public opinion should be </w:t>
      </w:r>
      <w:r w:rsidR="0063670E">
        <w:rPr>
          <w:rFonts w:ascii="Garamond" w:hAnsi="Garamond"/>
        </w:rPr>
        <w:t xml:space="preserve">especially </w:t>
      </w:r>
      <w:r w:rsidR="006601DB">
        <w:rPr>
          <w:rFonts w:ascii="Garamond" w:hAnsi="Garamond"/>
        </w:rPr>
        <w:t xml:space="preserve">sensitive to concerns about nuclear escalation. After all, </w:t>
      </w:r>
      <w:r w:rsidR="00207370">
        <w:rPr>
          <w:rFonts w:ascii="Garamond" w:hAnsi="Garamond"/>
        </w:rPr>
        <w:t>publics</w:t>
      </w:r>
      <w:r w:rsidR="006601DB">
        <w:rPr>
          <w:rFonts w:ascii="Garamond" w:hAnsi="Garamond"/>
        </w:rPr>
        <w:t xml:space="preserve"> are likely to suffer in the event of nuclear escalation, and while war is costly for the public overall, nuclear war between India and Pakistan would be far more costly, even if it were to remain limited</w:t>
      </w:r>
      <w:r w:rsidR="0089653F">
        <w:rPr>
          <w:rFonts w:ascii="Garamond" w:hAnsi="Garamond"/>
        </w:rPr>
        <w:t xml:space="preserve"> (</w:t>
      </w:r>
      <w:r w:rsidR="0089653F" w:rsidRPr="0057038A">
        <w:rPr>
          <w:rFonts w:ascii="Garamond" w:hAnsi="Garamond"/>
        </w:rPr>
        <w:t>Sankaran 2014</w:t>
      </w:r>
      <w:r w:rsidR="0089653F">
        <w:rPr>
          <w:rFonts w:ascii="Garamond" w:hAnsi="Garamond"/>
        </w:rPr>
        <w:t>)</w:t>
      </w:r>
      <w:r w:rsidR="00EA1B97">
        <w:rPr>
          <w:rFonts w:ascii="Garamond" w:hAnsi="Garamond"/>
        </w:rPr>
        <w:t>.</w:t>
      </w:r>
      <w:r w:rsidR="006601DB">
        <w:rPr>
          <w:rFonts w:ascii="Garamond" w:hAnsi="Garamond"/>
        </w:rPr>
        <w:t xml:space="preserve"> </w:t>
      </w:r>
    </w:p>
    <w:p w14:paraId="19C34FB4" w14:textId="10EEE01F" w:rsidR="001C60DE" w:rsidRDefault="006601DB">
      <w:pPr>
        <w:spacing w:line="480" w:lineRule="auto"/>
        <w:ind w:firstLine="720"/>
        <w:rPr>
          <w:rFonts w:ascii="Garamond" w:hAnsi="Garamond"/>
        </w:rPr>
      </w:pPr>
      <w:r>
        <w:rPr>
          <w:rFonts w:ascii="Garamond" w:hAnsi="Garamond"/>
        </w:rPr>
        <w:t>Since these theories are associated with conditions present in South Asia—namely the need for an impoverished Pakistan to develop economically and the danger of nuclear escalation in an India-Pakistan conflict—we seek to test whether rationales readily available t</w:t>
      </w:r>
      <w:r w:rsidR="00C14A5F">
        <w:rPr>
          <w:rFonts w:ascii="Garamond" w:hAnsi="Garamond"/>
        </w:rPr>
        <w:t>o</w:t>
      </w:r>
      <w:r>
        <w:rPr>
          <w:rFonts w:ascii="Garamond" w:hAnsi="Garamond"/>
        </w:rPr>
        <w:t xml:space="preserve"> national leaders can be easily employed </w:t>
      </w:r>
      <w:r w:rsidR="00E04C81">
        <w:rPr>
          <w:rFonts w:ascii="Garamond" w:hAnsi="Garamond"/>
        </w:rPr>
        <w:t xml:space="preserve">to diminish the costs associated with de-escalation. If such justifications eliminate or substantially diminish the public sanction </w:t>
      </w:r>
      <w:r w:rsidR="0063670E">
        <w:rPr>
          <w:rFonts w:ascii="Garamond" w:hAnsi="Garamond"/>
        </w:rPr>
        <w:t>of</w:t>
      </w:r>
      <w:r w:rsidR="00E04C81">
        <w:rPr>
          <w:rFonts w:ascii="Garamond" w:hAnsi="Garamond"/>
        </w:rPr>
        <w:t xml:space="preserve"> de-escalation, they help demonstrate how major theories offered for international peace can operate through the mechanism of public opinion. If such justifications are not persuasive, or only minimally so, it demonstrates important limits for those theories, with implications for national leaders attempting to adjudicate between immediate risks associated with public opinion and uncertain risks associated with conflict. </w:t>
      </w:r>
    </w:p>
    <w:p w14:paraId="64C77EC1" w14:textId="77777777" w:rsidR="009D55FB" w:rsidRDefault="009D55FB">
      <w:pPr>
        <w:spacing w:line="480" w:lineRule="auto"/>
        <w:ind w:firstLine="720"/>
        <w:rPr>
          <w:rFonts w:ascii="Garamond" w:hAnsi="Garamond"/>
        </w:rPr>
      </w:pPr>
    </w:p>
    <w:p w14:paraId="7029F4C6" w14:textId="77777777" w:rsidR="009D55FB" w:rsidRPr="007A5EB9" w:rsidRDefault="009D55FB" w:rsidP="009D55FB">
      <w:pPr>
        <w:spacing w:line="480" w:lineRule="auto"/>
        <w:rPr>
          <w:rFonts w:ascii="Garamond" w:hAnsi="Garamond"/>
          <w:i/>
        </w:rPr>
      </w:pPr>
      <w:r w:rsidRPr="007A5EB9">
        <w:rPr>
          <w:rFonts w:ascii="Garamond" w:hAnsi="Garamond"/>
          <w:i/>
        </w:rPr>
        <w:t xml:space="preserve">H4a: </w:t>
      </w:r>
      <w:r w:rsidRPr="007A5EB9">
        <w:rPr>
          <w:rFonts w:ascii="Garamond" w:hAnsi="Garamond"/>
          <w:i/>
          <w:iCs/>
        </w:rPr>
        <w:t>Individuals who receive a justification highlighting nuclear risk will be more supportive of the leader’s decision than those that receive a justification emphasizing economic risk.</w:t>
      </w:r>
      <w:r w:rsidRPr="000009EF">
        <w:rPr>
          <w:rFonts w:ascii="Garamond" w:hAnsi="Garamond"/>
          <w:i/>
          <w:iCs/>
        </w:rPr>
        <w:t xml:space="preserve"> </w:t>
      </w:r>
    </w:p>
    <w:p w14:paraId="14A04D70" w14:textId="77777777" w:rsidR="009D55FB" w:rsidRPr="007A5EB9" w:rsidRDefault="009D55FB" w:rsidP="009D55FB">
      <w:pPr>
        <w:spacing w:line="480" w:lineRule="auto"/>
        <w:rPr>
          <w:rFonts w:ascii="Garamond" w:hAnsi="Garamond"/>
          <w:i/>
        </w:rPr>
      </w:pPr>
      <w:r w:rsidRPr="007A5EB9">
        <w:rPr>
          <w:rFonts w:ascii="Garamond" w:hAnsi="Garamond"/>
          <w:i/>
        </w:rPr>
        <w:t>H4b:</w:t>
      </w:r>
      <w:r w:rsidRPr="007A5EB9">
        <w:rPr>
          <w:rFonts w:ascii="Garamond" w:hAnsi="Garamond"/>
          <w:i/>
          <w:iCs/>
        </w:rPr>
        <w:t xml:space="preserve"> Individuals who receive a justification highlighting economic risk will be more supportive of the decision than those that received the nuclear risk justification.</w:t>
      </w:r>
    </w:p>
    <w:p w14:paraId="4F771150" w14:textId="77777777" w:rsidR="00D20054" w:rsidRPr="00B21078" w:rsidRDefault="00D20054">
      <w:pPr>
        <w:pStyle w:val="ListParagraph"/>
        <w:ind w:left="0"/>
        <w:rPr>
          <w:rFonts w:ascii="Garamond" w:hAnsi="Garamond"/>
          <w:b/>
        </w:rPr>
      </w:pPr>
    </w:p>
    <w:p w14:paraId="5C52F612" w14:textId="0C0904FA" w:rsidR="00681120" w:rsidRPr="00B21078" w:rsidRDefault="00681120">
      <w:pPr>
        <w:pStyle w:val="ListParagraph"/>
        <w:numPr>
          <w:ilvl w:val="0"/>
          <w:numId w:val="1"/>
        </w:numPr>
        <w:ind w:left="1080" w:hanging="1080"/>
        <w:rPr>
          <w:rFonts w:ascii="Garamond" w:hAnsi="Garamond"/>
          <w:b/>
        </w:rPr>
      </w:pPr>
      <w:r w:rsidRPr="00B21078">
        <w:rPr>
          <w:rFonts w:ascii="Garamond" w:hAnsi="Garamond"/>
          <w:b/>
        </w:rPr>
        <w:t xml:space="preserve">Context: </w:t>
      </w:r>
      <w:r w:rsidR="0050514D" w:rsidRPr="00B21078">
        <w:rPr>
          <w:rFonts w:ascii="Garamond" w:hAnsi="Garamond"/>
          <w:b/>
        </w:rPr>
        <w:t>India-Pakistan Conflict</w:t>
      </w:r>
    </w:p>
    <w:p w14:paraId="1CE79B1E" w14:textId="77777777" w:rsidR="00681120" w:rsidRPr="00B21078" w:rsidRDefault="00681120">
      <w:pPr>
        <w:pStyle w:val="ListParagraph"/>
        <w:ind w:left="0"/>
        <w:rPr>
          <w:rFonts w:ascii="Garamond" w:hAnsi="Garamond" w:cs="Times New Roman"/>
        </w:rPr>
      </w:pPr>
    </w:p>
    <w:p w14:paraId="4AD0AE81" w14:textId="4A85C1A1" w:rsidR="00A30338" w:rsidRPr="00B21078" w:rsidRDefault="00A30338">
      <w:pPr>
        <w:pStyle w:val="ListParagraph"/>
        <w:spacing w:line="480" w:lineRule="auto"/>
        <w:ind w:left="0" w:firstLine="720"/>
        <w:rPr>
          <w:rFonts w:ascii="Garamond" w:hAnsi="Garamond"/>
          <w:b/>
        </w:rPr>
      </w:pPr>
      <w:r w:rsidRPr="00B21078">
        <w:rPr>
          <w:rFonts w:ascii="Garamond" w:hAnsi="Garamond" w:cs="Times New Roman"/>
        </w:rPr>
        <w:t>The India-Pakistan rivalry dates back to the</w:t>
      </w:r>
      <w:r w:rsidR="00727C38">
        <w:rPr>
          <w:rFonts w:ascii="Garamond" w:hAnsi="Garamond" w:cs="Times New Roman"/>
        </w:rPr>
        <w:t xml:space="preserve"> countries’</w:t>
      </w:r>
      <w:r w:rsidRPr="00B21078">
        <w:rPr>
          <w:rFonts w:ascii="Garamond" w:hAnsi="Garamond" w:cs="Times New Roman"/>
        </w:rPr>
        <w:t xml:space="preserve"> violent partition </w:t>
      </w:r>
      <w:r w:rsidR="0063670E">
        <w:rPr>
          <w:rFonts w:ascii="Garamond" w:hAnsi="Garamond" w:cs="Times New Roman"/>
        </w:rPr>
        <w:t>out of</w:t>
      </w:r>
      <w:r>
        <w:rPr>
          <w:rFonts w:ascii="Garamond" w:hAnsi="Garamond" w:cs="Times New Roman"/>
        </w:rPr>
        <w:t xml:space="preserve"> colonial India and </w:t>
      </w:r>
      <w:r w:rsidR="001865DE">
        <w:rPr>
          <w:rFonts w:ascii="Garamond" w:hAnsi="Garamond" w:cs="Times New Roman"/>
        </w:rPr>
        <w:t xml:space="preserve">their </w:t>
      </w:r>
      <w:r w:rsidRPr="00B21078">
        <w:rPr>
          <w:rFonts w:ascii="Garamond" w:hAnsi="Garamond" w:cs="Times New Roman"/>
        </w:rPr>
        <w:t xml:space="preserve">first war over the </w:t>
      </w:r>
      <w:r>
        <w:rPr>
          <w:rFonts w:ascii="Garamond" w:hAnsi="Garamond" w:cs="Times New Roman"/>
        </w:rPr>
        <w:t xml:space="preserve">disputed </w:t>
      </w:r>
      <w:r w:rsidRPr="00B21078">
        <w:rPr>
          <w:rFonts w:ascii="Garamond" w:hAnsi="Garamond" w:cs="Times New Roman"/>
        </w:rPr>
        <w:t>Kashmir</w:t>
      </w:r>
      <w:r>
        <w:rPr>
          <w:rFonts w:ascii="Garamond" w:hAnsi="Garamond" w:cs="Times New Roman"/>
        </w:rPr>
        <w:t xml:space="preserve"> </w:t>
      </w:r>
      <w:r w:rsidRPr="00B21078">
        <w:rPr>
          <w:rFonts w:ascii="Garamond" w:hAnsi="Garamond" w:cs="Times New Roman"/>
        </w:rPr>
        <w:t>territory in 1947</w:t>
      </w:r>
      <w:r>
        <w:rPr>
          <w:rFonts w:ascii="Garamond" w:hAnsi="Garamond" w:cs="Times New Roman"/>
        </w:rPr>
        <w:t>, making it one of the longest ongoing interstate rivalries</w:t>
      </w:r>
      <w:r w:rsidRPr="00B21078">
        <w:rPr>
          <w:rFonts w:ascii="Garamond" w:hAnsi="Garamond" w:cs="Times New Roman"/>
        </w:rPr>
        <w:t>. During the Cold War, the</w:t>
      </w:r>
      <w:r>
        <w:rPr>
          <w:rFonts w:ascii="Garamond" w:hAnsi="Garamond" w:cs="Times New Roman"/>
        </w:rPr>
        <w:t xml:space="preserve">y </w:t>
      </w:r>
      <w:r w:rsidRPr="00B21078">
        <w:rPr>
          <w:rFonts w:ascii="Garamond" w:hAnsi="Garamond" w:cs="Times New Roman"/>
        </w:rPr>
        <w:t xml:space="preserve">fought three major conventional wars—two over Kashmir and the third resulting </w:t>
      </w:r>
      <w:r>
        <w:rPr>
          <w:rFonts w:ascii="Garamond" w:hAnsi="Garamond" w:cs="Times New Roman"/>
        </w:rPr>
        <w:t xml:space="preserve">in </w:t>
      </w:r>
      <w:r w:rsidRPr="00B21078">
        <w:rPr>
          <w:rFonts w:ascii="Garamond" w:hAnsi="Garamond" w:cs="Times New Roman"/>
        </w:rPr>
        <w:t>the separation of East Pakistan—</w:t>
      </w:r>
      <w:r>
        <w:rPr>
          <w:rFonts w:ascii="Garamond" w:hAnsi="Garamond" w:cs="Times New Roman"/>
        </w:rPr>
        <w:t xml:space="preserve">interspersed with </w:t>
      </w:r>
      <w:r w:rsidRPr="00B21078">
        <w:rPr>
          <w:rFonts w:ascii="Garamond" w:hAnsi="Garamond" w:cs="Times New Roman"/>
        </w:rPr>
        <w:t xml:space="preserve">dozens of </w:t>
      </w:r>
      <w:r w:rsidRPr="00B21078">
        <w:rPr>
          <w:rFonts w:ascii="Garamond" w:hAnsi="Garamond" w:cs="Times New Roman"/>
        </w:rPr>
        <w:lastRenderedPageBreak/>
        <w:t xml:space="preserve">militarized </w:t>
      </w:r>
      <w:r>
        <w:rPr>
          <w:rFonts w:ascii="Garamond" w:hAnsi="Garamond" w:cs="Times New Roman"/>
        </w:rPr>
        <w:t xml:space="preserve">disputes and crises. </w:t>
      </w:r>
      <w:r w:rsidR="00850ADB">
        <w:rPr>
          <w:rFonts w:ascii="Garamond" w:hAnsi="Garamond" w:cs="Times New Roman"/>
        </w:rPr>
        <w:t>Both states’ acquisition of n</w:t>
      </w:r>
      <w:r w:rsidR="00642C7B">
        <w:rPr>
          <w:rFonts w:ascii="Garamond" w:hAnsi="Garamond" w:cs="Times New Roman"/>
        </w:rPr>
        <w:t xml:space="preserve">uclear weapons during the course of the rivalry increased the danger that any renewed hostilities might generate catastrophe. </w:t>
      </w:r>
      <w:r>
        <w:rPr>
          <w:rFonts w:ascii="Garamond" w:hAnsi="Garamond" w:cs="Times New Roman"/>
        </w:rPr>
        <w:t xml:space="preserve">India first tested nuclear weapons in 1974 and </w:t>
      </w:r>
      <w:r w:rsidR="008E106B">
        <w:rPr>
          <w:rFonts w:ascii="Garamond" w:hAnsi="Garamond" w:cs="Times New Roman"/>
        </w:rPr>
        <w:t>then</w:t>
      </w:r>
      <w:r>
        <w:rPr>
          <w:rFonts w:ascii="Garamond" w:hAnsi="Garamond" w:cs="Times New Roman"/>
        </w:rPr>
        <w:t xml:space="preserve"> again in 1998, while Pakistan likely acquired the ability to produce a nuclear bomb in the mid-1980s and overtly tested nuclear weapons in 1998. </w:t>
      </w:r>
      <w:r w:rsidRPr="00B21078">
        <w:rPr>
          <w:rFonts w:ascii="Garamond" w:hAnsi="Garamond" w:cs="Times New Roman"/>
        </w:rPr>
        <w:t xml:space="preserve">After </w:t>
      </w:r>
      <w:r w:rsidR="007D1D69">
        <w:rPr>
          <w:rFonts w:ascii="Garamond" w:hAnsi="Garamond" w:cs="Times New Roman"/>
        </w:rPr>
        <w:t>the 1998 tests</w:t>
      </w:r>
      <w:r w:rsidRPr="00B21078">
        <w:rPr>
          <w:rFonts w:ascii="Garamond" w:hAnsi="Garamond" w:cs="Times New Roman"/>
        </w:rPr>
        <w:t>, President Bill Clinton describe</w:t>
      </w:r>
      <w:r>
        <w:rPr>
          <w:rFonts w:ascii="Garamond" w:hAnsi="Garamond" w:cs="Times New Roman"/>
        </w:rPr>
        <w:t>d</w:t>
      </w:r>
      <w:r w:rsidRPr="00B21078">
        <w:rPr>
          <w:rFonts w:ascii="Garamond" w:hAnsi="Garamond" w:cs="Times New Roman"/>
        </w:rPr>
        <w:t xml:space="preserve"> the </w:t>
      </w:r>
      <w:r w:rsidR="007D1D69">
        <w:rPr>
          <w:rFonts w:ascii="Garamond" w:hAnsi="Garamond" w:cs="Times New Roman"/>
        </w:rPr>
        <w:t>region</w:t>
      </w:r>
      <w:r>
        <w:rPr>
          <w:rFonts w:ascii="Garamond" w:hAnsi="Garamond" w:cs="Times New Roman"/>
        </w:rPr>
        <w:t xml:space="preserve"> </w:t>
      </w:r>
      <w:r w:rsidRPr="00B21078">
        <w:rPr>
          <w:rFonts w:ascii="Garamond" w:hAnsi="Garamond" w:cs="Times New Roman"/>
        </w:rPr>
        <w:t>as “the most dangerous place in the world”</w:t>
      </w:r>
      <w:r w:rsidR="0066322C">
        <w:rPr>
          <w:rFonts w:ascii="Garamond" w:hAnsi="Garamond" w:cs="Times New Roman"/>
        </w:rPr>
        <w:t xml:space="preserve"> (</w:t>
      </w:r>
      <w:r w:rsidR="0066322C" w:rsidRPr="0057038A">
        <w:rPr>
          <w:rFonts w:ascii="Garamond" w:hAnsi="Garamond"/>
          <w:i/>
        </w:rPr>
        <w:t>The Hindu</w:t>
      </w:r>
      <w:r w:rsidR="0066322C" w:rsidRPr="0057038A">
        <w:rPr>
          <w:rFonts w:ascii="Garamond" w:hAnsi="Garamond"/>
        </w:rPr>
        <w:t>, 11 March 2000</w:t>
      </w:r>
      <w:r w:rsidR="0066322C">
        <w:rPr>
          <w:rFonts w:ascii="Garamond" w:hAnsi="Garamond"/>
        </w:rPr>
        <w:t>).</w:t>
      </w:r>
      <w:r w:rsidRPr="00B21078">
        <w:rPr>
          <w:rFonts w:ascii="Garamond" w:hAnsi="Garamond" w:cs="Times New Roman"/>
        </w:rPr>
        <w:t xml:space="preserve"> Within a year of </w:t>
      </w:r>
      <w:r w:rsidR="00642C7B">
        <w:rPr>
          <w:rFonts w:ascii="Garamond" w:hAnsi="Garamond" w:cs="Times New Roman"/>
        </w:rPr>
        <w:t>their nuclear tests</w:t>
      </w:r>
      <w:r w:rsidRPr="00B21078">
        <w:rPr>
          <w:rFonts w:ascii="Garamond" w:hAnsi="Garamond" w:cs="Times New Roman"/>
        </w:rPr>
        <w:t xml:space="preserve">, India and Pakistan defied </w:t>
      </w:r>
      <w:r>
        <w:rPr>
          <w:rFonts w:ascii="Garamond" w:hAnsi="Garamond" w:cs="Times New Roman"/>
        </w:rPr>
        <w:t xml:space="preserve">deterrence </w:t>
      </w:r>
      <w:r w:rsidRPr="00B21078">
        <w:rPr>
          <w:rFonts w:ascii="Garamond" w:hAnsi="Garamond" w:cs="Times New Roman"/>
        </w:rPr>
        <w:t xml:space="preserve">optimists’ </w:t>
      </w:r>
      <w:r>
        <w:rPr>
          <w:rFonts w:ascii="Garamond" w:hAnsi="Garamond" w:cs="Times New Roman"/>
        </w:rPr>
        <w:t>confidence</w:t>
      </w:r>
      <w:r w:rsidRPr="00B21078">
        <w:rPr>
          <w:rFonts w:ascii="Garamond" w:hAnsi="Garamond" w:cs="Times New Roman"/>
        </w:rPr>
        <w:t xml:space="preserve"> </w:t>
      </w:r>
      <w:r>
        <w:rPr>
          <w:rFonts w:ascii="Garamond" w:hAnsi="Garamond" w:cs="Times New Roman"/>
        </w:rPr>
        <w:t>in</w:t>
      </w:r>
      <w:r w:rsidRPr="00B21078">
        <w:rPr>
          <w:rFonts w:ascii="Garamond" w:hAnsi="Garamond" w:cs="Times New Roman"/>
        </w:rPr>
        <w:t xml:space="preserve"> </w:t>
      </w:r>
      <w:r>
        <w:rPr>
          <w:rFonts w:ascii="Garamond" w:hAnsi="Garamond" w:cs="Times New Roman"/>
        </w:rPr>
        <w:t>nuclear</w:t>
      </w:r>
      <w:r w:rsidRPr="00B21078">
        <w:rPr>
          <w:rFonts w:ascii="Garamond" w:hAnsi="Garamond" w:cs="Times New Roman"/>
        </w:rPr>
        <w:t xml:space="preserve"> stability</w:t>
      </w:r>
      <w:r w:rsidR="0057793E">
        <w:rPr>
          <w:rFonts w:ascii="Garamond" w:hAnsi="Garamond" w:cs="Times New Roman"/>
        </w:rPr>
        <w:t xml:space="preserve"> (</w:t>
      </w:r>
      <w:r w:rsidR="0057793E" w:rsidRPr="0057038A">
        <w:rPr>
          <w:rFonts w:ascii="Garamond" w:hAnsi="Garamond"/>
        </w:rPr>
        <w:t>Joeck 2013</w:t>
      </w:r>
      <w:r w:rsidR="0057793E">
        <w:rPr>
          <w:rFonts w:ascii="Garamond" w:hAnsi="Garamond"/>
        </w:rPr>
        <w:t>)</w:t>
      </w:r>
      <w:r w:rsidRPr="00B21078">
        <w:rPr>
          <w:rFonts w:ascii="Garamond" w:hAnsi="Garamond" w:cs="Times New Roman"/>
        </w:rPr>
        <w:t xml:space="preserve"> and fought the </w:t>
      </w:r>
      <w:r w:rsidR="007D1D69">
        <w:rPr>
          <w:rFonts w:ascii="Garamond" w:hAnsi="Garamond" w:cs="Times New Roman"/>
        </w:rPr>
        <w:t xml:space="preserve">1999 </w:t>
      </w:r>
      <w:r w:rsidRPr="00B21078">
        <w:rPr>
          <w:rFonts w:ascii="Garamond" w:hAnsi="Garamond" w:cs="Times New Roman"/>
        </w:rPr>
        <w:t>Kargil War</w:t>
      </w:r>
      <w:r w:rsidR="0057793E">
        <w:rPr>
          <w:rFonts w:ascii="Garamond" w:hAnsi="Garamond" w:cs="Times New Roman"/>
        </w:rPr>
        <w:t xml:space="preserve"> (</w:t>
      </w:r>
      <w:r w:rsidR="0057793E" w:rsidRPr="0057038A">
        <w:rPr>
          <w:rFonts w:ascii="Garamond" w:hAnsi="Garamond"/>
        </w:rPr>
        <w:t>Lavoy 2009</w:t>
      </w:r>
      <w:r w:rsidR="0057793E">
        <w:rPr>
          <w:rFonts w:ascii="Garamond" w:hAnsi="Garamond"/>
        </w:rPr>
        <w:t>).</w:t>
      </w:r>
      <w:r w:rsidRPr="00B21078">
        <w:rPr>
          <w:rFonts w:ascii="Garamond" w:hAnsi="Garamond" w:cs="Times New Roman"/>
        </w:rPr>
        <w:t xml:space="preserve"> The conventional conflict lasted two months, claimed</w:t>
      </w:r>
      <w:r>
        <w:rPr>
          <w:rFonts w:ascii="Garamond" w:hAnsi="Garamond" w:cs="Times New Roman"/>
        </w:rPr>
        <w:t xml:space="preserve"> roughly 1,000 battle deaths, and some believe </w:t>
      </w:r>
      <w:r w:rsidRPr="00B21078">
        <w:rPr>
          <w:rFonts w:ascii="Garamond" w:hAnsi="Garamond" w:cs="Times New Roman"/>
        </w:rPr>
        <w:t>involved nuclear signaling</w:t>
      </w:r>
      <w:r w:rsidR="0057793E">
        <w:rPr>
          <w:rFonts w:ascii="Garamond" w:hAnsi="Garamond" w:cs="Times New Roman"/>
        </w:rPr>
        <w:t xml:space="preserve"> (</w:t>
      </w:r>
      <w:r w:rsidR="0057793E" w:rsidRPr="0057038A">
        <w:rPr>
          <w:rFonts w:ascii="Garamond" w:hAnsi="Garamond"/>
        </w:rPr>
        <w:t>Riedel 2009</w:t>
      </w:r>
      <w:r w:rsidR="0057793E">
        <w:rPr>
          <w:rFonts w:ascii="Garamond" w:hAnsi="Garamond"/>
        </w:rPr>
        <w:t>)</w:t>
      </w:r>
      <w:r w:rsidRPr="00B21078">
        <w:rPr>
          <w:rFonts w:ascii="Garamond" w:hAnsi="Garamond" w:cs="Times New Roman"/>
        </w:rPr>
        <w:t>.</w:t>
      </w:r>
    </w:p>
    <w:p w14:paraId="42C36DD8" w14:textId="63E3001A" w:rsidR="00A30338" w:rsidRPr="00B21078" w:rsidRDefault="00A30338">
      <w:pPr>
        <w:spacing w:line="480" w:lineRule="auto"/>
        <w:ind w:firstLine="720"/>
        <w:rPr>
          <w:rFonts w:ascii="Garamond" w:hAnsi="Garamond" w:cs="Times New Roman"/>
        </w:rPr>
      </w:pPr>
      <w:r>
        <w:rPr>
          <w:rFonts w:ascii="Garamond" w:hAnsi="Garamond" w:cs="Times New Roman"/>
        </w:rPr>
        <w:t>Despite the absence of wars s</w:t>
      </w:r>
      <w:r w:rsidRPr="00B21078">
        <w:rPr>
          <w:rFonts w:ascii="Garamond" w:hAnsi="Garamond" w:cs="Times New Roman"/>
        </w:rPr>
        <w:t xml:space="preserve">ince Kargil, the past two decades have been punctuated by </w:t>
      </w:r>
      <w:r>
        <w:rPr>
          <w:rFonts w:ascii="Garamond" w:hAnsi="Garamond" w:cs="Times New Roman"/>
        </w:rPr>
        <w:t>several</w:t>
      </w:r>
      <w:r w:rsidRPr="00B21078">
        <w:rPr>
          <w:rFonts w:ascii="Garamond" w:hAnsi="Garamond" w:cs="Times New Roman"/>
        </w:rPr>
        <w:t xml:space="preserve"> major a</w:t>
      </w:r>
      <w:r>
        <w:rPr>
          <w:rFonts w:ascii="Garamond" w:hAnsi="Garamond" w:cs="Times New Roman"/>
        </w:rPr>
        <w:t>nd</w:t>
      </w:r>
      <w:r w:rsidRPr="00B21078">
        <w:rPr>
          <w:rFonts w:ascii="Garamond" w:hAnsi="Garamond" w:cs="Times New Roman"/>
        </w:rPr>
        <w:t xml:space="preserve"> minor crises. </w:t>
      </w:r>
      <w:r>
        <w:rPr>
          <w:rFonts w:ascii="Garamond" w:hAnsi="Garamond" w:cs="Times New Roman"/>
        </w:rPr>
        <w:t>All the while</w:t>
      </w:r>
      <w:r w:rsidR="00130546">
        <w:rPr>
          <w:rFonts w:ascii="Garamond" w:hAnsi="Garamond" w:cs="Times New Roman"/>
        </w:rPr>
        <w:t>,</w:t>
      </w:r>
      <w:r>
        <w:rPr>
          <w:rFonts w:ascii="Garamond" w:hAnsi="Garamond" w:cs="Times New Roman"/>
        </w:rPr>
        <w:t xml:space="preserve"> c</w:t>
      </w:r>
      <w:r w:rsidRPr="00B21078">
        <w:rPr>
          <w:rFonts w:ascii="Garamond" w:hAnsi="Garamond" w:cs="Times New Roman"/>
        </w:rPr>
        <w:t xml:space="preserve">ross-border exchanges of small-arms fire, mortars, artillery, and even raids have been a regular feature </w:t>
      </w:r>
      <w:r>
        <w:rPr>
          <w:rFonts w:ascii="Garamond" w:hAnsi="Garamond" w:cs="Times New Roman"/>
        </w:rPr>
        <w:t>on the</w:t>
      </w:r>
      <w:r w:rsidRPr="00B21078">
        <w:rPr>
          <w:rFonts w:ascii="Garamond" w:hAnsi="Garamond" w:cs="Times New Roman"/>
        </w:rPr>
        <w:t xml:space="preserve"> heavily </w:t>
      </w:r>
      <w:r>
        <w:rPr>
          <w:rFonts w:ascii="Garamond" w:hAnsi="Garamond" w:cs="Times New Roman"/>
        </w:rPr>
        <w:t xml:space="preserve">fortified </w:t>
      </w:r>
      <w:r w:rsidRPr="00B21078">
        <w:rPr>
          <w:rFonts w:ascii="Garamond" w:hAnsi="Garamond" w:cs="Times New Roman"/>
        </w:rPr>
        <w:t>L</w:t>
      </w:r>
      <w:r>
        <w:rPr>
          <w:rFonts w:ascii="Garamond" w:hAnsi="Garamond" w:cs="Times New Roman"/>
        </w:rPr>
        <w:t xml:space="preserve">ine </w:t>
      </w:r>
      <w:r w:rsidRPr="00B21078">
        <w:rPr>
          <w:rFonts w:ascii="Garamond" w:hAnsi="Garamond" w:cs="Times New Roman"/>
        </w:rPr>
        <w:t>o</w:t>
      </w:r>
      <w:r>
        <w:rPr>
          <w:rFonts w:ascii="Garamond" w:hAnsi="Garamond" w:cs="Times New Roman"/>
        </w:rPr>
        <w:t xml:space="preserve">f </w:t>
      </w:r>
      <w:r w:rsidRPr="00B21078">
        <w:rPr>
          <w:rFonts w:ascii="Garamond" w:hAnsi="Garamond" w:cs="Times New Roman"/>
        </w:rPr>
        <w:t>C</w:t>
      </w:r>
      <w:r>
        <w:rPr>
          <w:rFonts w:ascii="Garamond" w:hAnsi="Garamond" w:cs="Times New Roman"/>
        </w:rPr>
        <w:t>ontrol (LoC) that separates the dispute</w:t>
      </w:r>
      <w:r w:rsidR="00850ADB">
        <w:rPr>
          <w:rFonts w:ascii="Garamond" w:hAnsi="Garamond" w:cs="Times New Roman"/>
        </w:rPr>
        <w:t>d</w:t>
      </w:r>
      <w:r>
        <w:rPr>
          <w:rFonts w:ascii="Garamond" w:hAnsi="Garamond" w:cs="Times New Roman"/>
        </w:rPr>
        <w:t xml:space="preserve"> territory of Kashmir</w:t>
      </w:r>
      <w:r w:rsidRPr="00B21078">
        <w:rPr>
          <w:rFonts w:ascii="Garamond" w:hAnsi="Garamond" w:cs="Times New Roman"/>
        </w:rPr>
        <w:t xml:space="preserve">. </w:t>
      </w:r>
      <w:r>
        <w:rPr>
          <w:rFonts w:ascii="Garamond" w:hAnsi="Garamond" w:cs="Times New Roman"/>
        </w:rPr>
        <w:t>Despite</w:t>
      </w:r>
      <w:r w:rsidRPr="00B21078">
        <w:rPr>
          <w:rFonts w:ascii="Garamond" w:hAnsi="Garamond" w:cs="Times New Roman"/>
        </w:rPr>
        <w:t xml:space="preserve"> a </w:t>
      </w:r>
      <w:r>
        <w:rPr>
          <w:rFonts w:ascii="Garamond" w:hAnsi="Garamond" w:cs="Times New Roman"/>
        </w:rPr>
        <w:t xml:space="preserve">2003 </w:t>
      </w:r>
      <w:r w:rsidRPr="00B21078">
        <w:rPr>
          <w:rFonts w:ascii="Garamond" w:hAnsi="Garamond" w:cs="Times New Roman"/>
        </w:rPr>
        <w:t xml:space="preserve">ceasefire agreement, the region has </w:t>
      </w:r>
      <w:r>
        <w:rPr>
          <w:rFonts w:ascii="Garamond" w:hAnsi="Garamond" w:cs="Times New Roman"/>
        </w:rPr>
        <w:t>hosted</w:t>
      </w:r>
      <w:r w:rsidRPr="00B21078">
        <w:rPr>
          <w:rFonts w:ascii="Garamond" w:hAnsi="Garamond" w:cs="Times New Roman"/>
        </w:rPr>
        <w:t xml:space="preserve"> one of the </w:t>
      </w:r>
      <w:r w:rsidR="004830AE">
        <w:rPr>
          <w:rFonts w:ascii="Garamond" w:hAnsi="Garamond" w:cs="Times New Roman"/>
        </w:rPr>
        <w:t xml:space="preserve">world’s </w:t>
      </w:r>
      <w:r w:rsidRPr="00B21078">
        <w:rPr>
          <w:rFonts w:ascii="Garamond" w:hAnsi="Garamond" w:cs="Times New Roman"/>
        </w:rPr>
        <w:t>most active combat zones with nearly 10,000 killed.</w:t>
      </w:r>
      <w:r w:rsidR="009D55FB">
        <w:rPr>
          <w:rStyle w:val="FootnoteReference"/>
          <w:rFonts w:ascii="Garamond" w:hAnsi="Garamond" w:cs="Times New Roman"/>
        </w:rPr>
        <w:footnoteReference w:customMarkFollows="1" w:id="5"/>
        <w:t>5</w:t>
      </w:r>
      <w:r w:rsidRPr="00B21078">
        <w:rPr>
          <w:rFonts w:ascii="Garamond" w:hAnsi="Garamond" w:cs="Times New Roman"/>
        </w:rPr>
        <w:t xml:space="preserve"> The frequency of such </w:t>
      </w:r>
      <w:r w:rsidR="00642C7B">
        <w:rPr>
          <w:rFonts w:ascii="Garamond" w:hAnsi="Garamond" w:cs="Times New Roman"/>
        </w:rPr>
        <w:t>interstate violence</w:t>
      </w:r>
      <w:r w:rsidRPr="00B21078">
        <w:rPr>
          <w:rFonts w:ascii="Garamond" w:hAnsi="Garamond" w:cs="Times New Roman"/>
        </w:rPr>
        <w:t xml:space="preserve"> ha</w:t>
      </w:r>
      <w:r>
        <w:rPr>
          <w:rFonts w:ascii="Garamond" w:hAnsi="Garamond" w:cs="Times New Roman"/>
        </w:rPr>
        <w:t>s made most observers numb to what analysts term a “pink flamingo” risk—“fully visible” but “almost completely ignored”</w:t>
      </w:r>
      <w:r w:rsidR="0057793E">
        <w:rPr>
          <w:rFonts w:ascii="Garamond" w:hAnsi="Garamond" w:cs="Times New Roman"/>
        </w:rPr>
        <w:t xml:space="preserve"> (</w:t>
      </w:r>
      <w:r w:rsidR="0057793E" w:rsidRPr="0057038A">
        <w:rPr>
          <w:rFonts w:ascii="Garamond" w:hAnsi="Garamond"/>
        </w:rPr>
        <w:t>Barno and Bensahel 2015</w:t>
      </w:r>
      <w:r w:rsidR="0057793E">
        <w:rPr>
          <w:rFonts w:ascii="Garamond" w:hAnsi="Garamond"/>
        </w:rPr>
        <w:t>).</w:t>
      </w:r>
      <w:r w:rsidR="00413A6A">
        <w:rPr>
          <w:rFonts w:ascii="Garamond" w:hAnsi="Garamond"/>
        </w:rPr>
        <w:t xml:space="preserve"> Perhaps unsurprisingly then, p</w:t>
      </w:r>
      <w:r w:rsidR="004C3BD4">
        <w:rPr>
          <w:rFonts w:ascii="Garamond" w:hAnsi="Garamond"/>
        </w:rPr>
        <w:t xml:space="preserve">ublic opinion in Pakistan is consistently and staunchly anti-Indian. </w:t>
      </w:r>
      <w:r w:rsidR="002C535A">
        <w:rPr>
          <w:rFonts w:ascii="Garamond" w:hAnsi="Garamond"/>
        </w:rPr>
        <w:t xml:space="preserve">Pew data </w:t>
      </w:r>
      <w:r w:rsidR="000E0847">
        <w:rPr>
          <w:rFonts w:ascii="Garamond" w:hAnsi="Garamond"/>
        </w:rPr>
        <w:t xml:space="preserve">from </w:t>
      </w:r>
      <w:r w:rsidR="005823B7">
        <w:rPr>
          <w:rFonts w:ascii="Garamond" w:hAnsi="Garamond"/>
        </w:rPr>
        <w:t>approximately the last 10 y</w:t>
      </w:r>
      <w:r w:rsidR="00DD1ED1">
        <w:rPr>
          <w:rFonts w:ascii="Garamond" w:hAnsi="Garamond"/>
        </w:rPr>
        <w:t>e</w:t>
      </w:r>
      <w:r w:rsidR="005823B7">
        <w:rPr>
          <w:rFonts w:ascii="Garamond" w:hAnsi="Garamond"/>
        </w:rPr>
        <w:t>ars</w:t>
      </w:r>
      <w:r w:rsidR="000E0847">
        <w:rPr>
          <w:rFonts w:ascii="Garamond" w:hAnsi="Garamond"/>
        </w:rPr>
        <w:t xml:space="preserve"> has found that a plurality of Pakistani respondents </w:t>
      </w:r>
      <w:r w:rsidR="0025405F">
        <w:rPr>
          <w:rFonts w:ascii="Garamond" w:hAnsi="Garamond"/>
        </w:rPr>
        <w:t>hold a “very unfavorable” view of India, and that a majority perceive India to be a “very serious threat”</w:t>
      </w:r>
      <w:r w:rsidR="005823B7">
        <w:rPr>
          <w:rFonts w:ascii="Garamond" w:hAnsi="Garamond"/>
        </w:rPr>
        <w:t xml:space="preserve"> to their country</w:t>
      </w:r>
      <w:r w:rsidR="00A9701D">
        <w:rPr>
          <w:rFonts w:ascii="Garamond" w:hAnsi="Garamond"/>
        </w:rPr>
        <w:t xml:space="preserve">—in fact, </w:t>
      </w:r>
      <w:r w:rsidR="005823B7">
        <w:rPr>
          <w:rFonts w:ascii="Garamond" w:hAnsi="Garamond"/>
        </w:rPr>
        <w:t xml:space="preserve">a greater threat that Al Qaeda and the Taliban. </w:t>
      </w:r>
      <w:r w:rsidR="0025405F">
        <w:rPr>
          <w:rFonts w:ascii="Garamond" w:hAnsi="Garamond"/>
        </w:rPr>
        <w:t xml:space="preserve"> </w:t>
      </w:r>
    </w:p>
    <w:p w14:paraId="5E59CF48" w14:textId="6A08E9B6" w:rsidR="00A30338" w:rsidRPr="00CF0F9F" w:rsidRDefault="00A30338">
      <w:pPr>
        <w:spacing w:line="480" w:lineRule="auto"/>
        <w:ind w:firstLine="720"/>
        <w:rPr>
          <w:rFonts w:ascii="Garamond" w:hAnsi="Garamond"/>
        </w:rPr>
      </w:pPr>
      <w:r w:rsidRPr="00B21078">
        <w:rPr>
          <w:rFonts w:ascii="Garamond" w:hAnsi="Garamond" w:cs="Times New Roman"/>
        </w:rPr>
        <w:t xml:space="preserve">The </w:t>
      </w:r>
      <w:r>
        <w:rPr>
          <w:rFonts w:ascii="Garamond" w:hAnsi="Garamond" w:cs="Times New Roman"/>
        </w:rPr>
        <w:t xml:space="preserve">2016 </w:t>
      </w:r>
      <w:r w:rsidRPr="00B21078">
        <w:rPr>
          <w:rFonts w:ascii="Garamond" w:hAnsi="Garamond" w:cs="Times New Roman"/>
        </w:rPr>
        <w:t xml:space="preserve">Uri </w:t>
      </w:r>
      <w:r>
        <w:rPr>
          <w:rFonts w:ascii="Garamond" w:hAnsi="Garamond" w:cs="Times New Roman"/>
        </w:rPr>
        <w:t>episode</w:t>
      </w:r>
      <w:r w:rsidRPr="00B21078">
        <w:rPr>
          <w:rFonts w:ascii="Garamond" w:hAnsi="Garamond" w:cs="Times New Roman"/>
        </w:rPr>
        <w:t xml:space="preserve"> provides a useful illustration of how </w:t>
      </w:r>
      <w:r>
        <w:rPr>
          <w:rFonts w:ascii="Garamond" w:hAnsi="Garamond" w:cs="Times New Roman"/>
        </w:rPr>
        <w:t>domestic</w:t>
      </w:r>
      <w:r w:rsidRPr="00B21078">
        <w:rPr>
          <w:rFonts w:ascii="Garamond" w:hAnsi="Garamond" w:cs="Times New Roman"/>
        </w:rPr>
        <w:t xml:space="preserve"> pressures might </w:t>
      </w:r>
      <w:r>
        <w:rPr>
          <w:rFonts w:ascii="Garamond" w:hAnsi="Garamond" w:cs="Times New Roman"/>
        </w:rPr>
        <w:t>escalate crises</w:t>
      </w:r>
      <w:r w:rsidRPr="00B21078">
        <w:rPr>
          <w:rFonts w:ascii="Garamond" w:hAnsi="Garamond" w:cs="Times New Roman"/>
        </w:rPr>
        <w:t xml:space="preserve">. </w:t>
      </w:r>
      <w:r w:rsidRPr="00B21078">
        <w:rPr>
          <w:rFonts w:ascii="Garamond" w:hAnsi="Garamond"/>
        </w:rPr>
        <w:t xml:space="preserve">In September 2016, an attack attributed to </w:t>
      </w:r>
      <w:r>
        <w:rPr>
          <w:rFonts w:ascii="Garamond" w:hAnsi="Garamond"/>
        </w:rPr>
        <w:t xml:space="preserve">a </w:t>
      </w:r>
      <w:r w:rsidRPr="00B21078">
        <w:rPr>
          <w:rFonts w:ascii="Garamond" w:hAnsi="Garamond"/>
        </w:rPr>
        <w:t>Pakistan-sponsored terrorist group aga</w:t>
      </w:r>
      <w:r>
        <w:rPr>
          <w:rFonts w:ascii="Garamond" w:hAnsi="Garamond"/>
        </w:rPr>
        <w:t xml:space="preserve">inst an </w:t>
      </w:r>
      <w:r>
        <w:rPr>
          <w:rFonts w:ascii="Garamond" w:hAnsi="Garamond"/>
        </w:rPr>
        <w:lastRenderedPageBreak/>
        <w:t xml:space="preserve">Indian Army base </w:t>
      </w:r>
      <w:r w:rsidRPr="00B21078">
        <w:rPr>
          <w:rFonts w:ascii="Garamond" w:hAnsi="Garamond"/>
        </w:rPr>
        <w:t xml:space="preserve">in </w:t>
      </w:r>
      <w:r>
        <w:rPr>
          <w:rFonts w:ascii="Garamond" w:hAnsi="Garamond"/>
        </w:rPr>
        <w:t xml:space="preserve">Uri, Kashmir </w:t>
      </w:r>
      <w:r w:rsidRPr="00B21078">
        <w:rPr>
          <w:rFonts w:ascii="Garamond" w:hAnsi="Garamond"/>
        </w:rPr>
        <w:t xml:space="preserve">killed 19 Indian soldiers and injured dozens more. </w:t>
      </w:r>
      <w:r w:rsidR="007D1D69">
        <w:rPr>
          <w:rFonts w:ascii="Garamond" w:hAnsi="Garamond"/>
        </w:rPr>
        <w:t xml:space="preserve">Owing to </w:t>
      </w:r>
      <w:r w:rsidR="007D1D69" w:rsidRPr="00B21078">
        <w:rPr>
          <w:rFonts w:ascii="Garamond" w:hAnsi="Garamond"/>
        </w:rPr>
        <w:t>“intense public pressure”</w:t>
      </w:r>
      <w:r w:rsidR="0057793E">
        <w:rPr>
          <w:rFonts w:ascii="Garamond" w:hAnsi="Garamond"/>
        </w:rPr>
        <w:t xml:space="preserve"> (</w:t>
      </w:r>
      <w:r w:rsidR="0057793E" w:rsidRPr="0057038A">
        <w:rPr>
          <w:rFonts w:ascii="Garamond" w:hAnsi="Garamond"/>
        </w:rPr>
        <w:t>Joshi 2016</w:t>
      </w:r>
      <w:r w:rsidR="0057793E">
        <w:rPr>
          <w:rFonts w:ascii="Garamond" w:hAnsi="Garamond"/>
        </w:rPr>
        <w:t>),</w:t>
      </w:r>
      <w:r w:rsidR="007D1D69" w:rsidRPr="00B21078">
        <w:rPr>
          <w:rFonts w:ascii="Garamond" w:hAnsi="Garamond"/>
        </w:rPr>
        <w:t xml:space="preserve"> </w:t>
      </w:r>
      <w:r>
        <w:rPr>
          <w:rFonts w:ascii="Garamond" w:hAnsi="Garamond"/>
        </w:rPr>
        <w:t xml:space="preserve">Indian </w:t>
      </w:r>
      <w:r>
        <w:rPr>
          <w:rFonts w:ascii="Garamond" w:hAnsi="Garamond" w:cs="Times New Roman"/>
        </w:rPr>
        <w:t xml:space="preserve">Prime Minister Narendra Modi </w:t>
      </w:r>
      <w:r w:rsidRPr="00B21078">
        <w:rPr>
          <w:rFonts w:ascii="Garamond" w:hAnsi="Garamond"/>
        </w:rPr>
        <w:t xml:space="preserve">reportedly authorized limited punitive </w:t>
      </w:r>
      <w:r>
        <w:rPr>
          <w:rFonts w:ascii="Garamond" w:hAnsi="Garamond"/>
        </w:rPr>
        <w:t>raids</w:t>
      </w:r>
      <w:r w:rsidRPr="00B21078">
        <w:rPr>
          <w:rFonts w:ascii="Garamond" w:hAnsi="Garamond"/>
        </w:rPr>
        <w:t xml:space="preserve"> across the </w:t>
      </w:r>
      <w:r>
        <w:rPr>
          <w:rFonts w:ascii="Garamond" w:hAnsi="Garamond"/>
        </w:rPr>
        <w:t>LoC, dubbed “surgical strikes”</w:t>
      </w:r>
      <w:r w:rsidR="007D1D69">
        <w:rPr>
          <w:rFonts w:ascii="Garamond" w:hAnsi="Garamond"/>
        </w:rPr>
        <w:t>,</w:t>
      </w:r>
      <w:r>
        <w:rPr>
          <w:rFonts w:ascii="Garamond" w:hAnsi="Garamond"/>
        </w:rPr>
        <w:t xml:space="preserve"> kill</w:t>
      </w:r>
      <w:r w:rsidR="007D1D69">
        <w:rPr>
          <w:rFonts w:ascii="Garamond" w:hAnsi="Garamond"/>
        </w:rPr>
        <w:t>ing</w:t>
      </w:r>
      <w:r w:rsidRPr="00B21078">
        <w:rPr>
          <w:rFonts w:ascii="Garamond" w:hAnsi="Garamond"/>
        </w:rPr>
        <w:t xml:space="preserve"> Pakistani soldiers and suspected terrorists</w:t>
      </w:r>
      <w:r w:rsidR="0057793E">
        <w:rPr>
          <w:rFonts w:ascii="Garamond" w:hAnsi="Garamond"/>
        </w:rPr>
        <w:t xml:space="preserve"> (</w:t>
      </w:r>
      <w:r w:rsidR="0057793E" w:rsidRPr="0057038A">
        <w:rPr>
          <w:rFonts w:ascii="Garamond" w:hAnsi="Garamond"/>
        </w:rPr>
        <w:t>Gokhale 2017, 38–52</w:t>
      </w:r>
      <w:r w:rsidR="0057793E">
        <w:rPr>
          <w:rFonts w:ascii="Garamond" w:hAnsi="Garamond"/>
        </w:rPr>
        <w:t>)</w:t>
      </w:r>
      <w:r>
        <w:rPr>
          <w:rFonts w:ascii="Garamond" w:hAnsi="Garamond"/>
        </w:rPr>
        <w:t xml:space="preserve">. </w:t>
      </w:r>
      <w:r w:rsidR="00D6054C">
        <w:rPr>
          <w:rFonts w:ascii="Garamond" w:hAnsi="Garamond"/>
        </w:rPr>
        <w:t xml:space="preserve">Narang explains that </w:t>
      </w:r>
      <w:r w:rsidRPr="00B21078">
        <w:rPr>
          <w:rFonts w:ascii="Garamond" w:hAnsi="Garamond"/>
        </w:rPr>
        <w:t>“</w:t>
      </w:r>
      <w:r w:rsidR="00D6054C">
        <w:rPr>
          <w:rFonts w:ascii="Garamond" w:hAnsi="Garamond"/>
        </w:rPr>
        <w:t>[g]</w:t>
      </w:r>
      <w:r w:rsidRPr="00B21078">
        <w:rPr>
          <w:rFonts w:ascii="Garamond" w:hAnsi="Garamond"/>
        </w:rPr>
        <w:t>iven the public outrage, expressed most vehemently online and on television, the notion that attacks by Pakistani-supported militants can be suffered with no response may be increasingly unsustainable”</w:t>
      </w:r>
      <w:r w:rsidR="0057793E">
        <w:rPr>
          <w:rFonts w:ascii="Garamond" w:hAnsi="Garamond"/>
        </w:rPr>
        <w:t xml:space="preserve"> (</w:t>
      </w:r>
      <w:r w:rsidR="0057793E" w:rsidRPr="0057038A">
        <w:rPr>
          <w:rFonts w:ascii="Garamond" w:hAnsi="Garamond"/>
        </w:rPr>
        <w:t>Narang 2016</w:t>
      </w:r>
      <w:r w:rsidR="0057793E">
        <w:rPr>
          <w:rFonts w:ascii="Garamond" w:hAnsi="Garamond"/>
        </w:rPr>
        <w:t>).</w:t>
      </w:r>
      <w:r>
        <w:rPr>
          <w:rFonts w:ascii="Garamond" w:hAnsi="Garamond"/>
        </w:rPr>
        <w:t xml:space="preserve"> </w:t>
      </w:r>
      <w:r>
        <w:rPr>
          <w:rFonts w:ascii="Garamond" w:hAnsi="Garamond" w:cs="Times New Roman"/>
        </w:rPr>
        <w:t>This pressure may have stemmed</w:t>
      </w:r>
      <w:r>
        <w:rPr>
          <w:rFonts w:ascii="Garamond" w:hAnsi="Garamond"/>
        </w:rPr>
        <w:t xml:space="preserve"> from Modi’s </w:t>
      </w:r>
      <w:r>
        <w:rPr>
          <w:rFonts w:ascii="Garamond" w:hAnsi="Garamond" w:cs="Times New Roman"/>
        </w:rPr>
        <w:t>electoral promises</w:t>
      </w:r>
      <w:r w:rsidRPr="00B21078">
        <w:rPr>
          <w:rFonts w:ascii="Garamond" w:hAnsi="Garamond" w:cs="Times New Roman"/>
        </w:rPr>
        <w:t xml:space="preserve">, </w:t>
      </w:r>
      <w:r>
        <w:rPr>
          <w:rFonts w:ascii="Garamond" w:hAnsi="Garamond" w:cs="Times New Roman"/>
        </w:rPr>
        <w:t>his incendiary rhetoric after the attack</w:t>
      </w:r>
      <w:r w:rsidR="0057793E">
        <w:rPr>
          <w:rFonts w:ascii="Garamond" w:hAnsi="Garamond" w:cs="Times New Roman"/>
        </w:rPr>
        <w:t xml:space="preserve"> (</w:t>
      </w:r>
      <w:r w:rsidR="0057793E" w:rsidRPr="0057038A">
        <w:rPr>
          <w:rFonts w:ascii="Garamond" w:hAnsi="Garamond"/>
          <w:i/>
        </w:rPr>
        <w:t>Indian Express</w:t>
      </w:r>
      <w:r w:rsidR="0057793E" w:rsidRPr="0057038A">
        <w:rPr>
          <w:rFonts w:ascii="Garamond" w:hAnsi="Garamond"/>
        </w:rPr>
        <w:t>, 19 September 2016</w:t>
      </w:r>
      <w:r w:rsidR="0057793E">
        <w:rPr>
          <w:rFonts w:ascii="Garamond" w:hAnsi="Garamond"/>
        </w:rPr>
        <w:t>)</w:t>
      </w:r>
      <w:r>
        <w:rPr>
          <w:rFonts w:ascii="Garamond" w:hAnsi="Garamond" w:cs="Times New Roman"/>
        </w:rPr>
        <w:t xml:space="preserve">, </w:t>
      </w:r>
      <w:r>
        <w:rPr>
          <w:rFonts w:ascii="Garamond" w:hAnsi="Garamond"/>
        </w:rPr>
        <w:t xml:space="preserve">past failures to </w:t>
      </w:r>
      <w:r w:rsidRPr="00B21078">
        <w:rPr>
          <w:rFonts w:ascii="Garamond" w:hAnsi="Garamond" w:cs="Times New Roman"/>
        </w:rPr>
        <w:t>retaliate</w:t>
      </w:r>
      <w:r w:rsidR="0057793E">
        <w:rPr>
          <w:rFonts w:ascii="Garamond" w:hAnsi="Garamond" w:cs="Times New Roman"/>
        </w:rPr>
        <w:t xml:space="preserve"> (</w:t>
      </w:r>
      <w:r w:rsidR="0057793E" w:rsidRPr="0057038A">
        <w:rPr>
          <w:rFonts w:ascii="Garamond" w:hAnsi="Garamond"/>
          <w:i/>
          <w:iCs/>
        </w:rPr>
        <w:t>Hindustan Times</w:t>
      </w:r>
      <w:r w:rsidR="0057793E" w:rsidRPr="0057038A">
        <w:rPr>
          <w:rFonts w:ascii="Garamond" w:hAnsi="Garamond"/>
          <w:iCs/>
        </w:rPr>
        <w:t>, 18 September 2016</w:t>
      </w:r>
      <w:r w:rsidR="0057793E">
        <w:rPr>
          <w:rFonts w:ascii="Garamond" w:hAnsi="Garamond"/>
          <w:iCs/>
        </w:rPr>
        <w:t>)</w:t>
      </w:r>
      <w:r w:rsidR="007D1D69">
        <w:rPr>
          <w:rFonts w:ascii="Garamond" w:hAnsi="Garamond" w:cs="Times New Roman"/>
        </w:rPr>
        <w:t>,</w:t>
      </w:r>
      <w:r w:rsidRPr="00B21078">
        <w:rPr>
          <w:rFonts w:ascii="Garamond" w:hAnsi="Garamond" w:cs="Times New Roman"/>
        </w:rPr>
        <w:t xml:space="preserve"> </w:t>
      </w:r>
      <w:r w:rsidR="007D1D69">
        <w:rPr>
          <w:rFonts w:ascii="Garamond" w:hAnsi="Garamond" w:cs="Times New Roman"/>
        </w:rPr>
        <w:t>and media pressure</w:t>
      </w:r>
      <w:r w:rsidR="00437126">
        <w:rPr>
          <w:rFonts w:ascii="Garamond" w:hAnsi="Garamond" w:cs="Times New Roman"/>
        </w:rPr>
        <w:t xml:space="preserve"> (</w:t>
      </w:r>
      <w:r w:rsidR="00437126" w:rsidRPr="0057038A">
        <w:rPr>
          <w:rFonts w:ascii="Garamond" w:hAnsi="Garamond"/>
          <w:i/>
        </w:rPr>
        <w:t>The Caravan</w:t>
      </w:r>
      <w:r w:rsidR="00437126" w:rsidRPr="0057038A">
        <w:rPr>
          <w:rFonts w:ascii="Garamond" w:hAnsi="Garamond"/>
        </w:rPr>
        <w:t>, 26 September 2016</w:t>
      </w:r>
      <w:r w:rsidR="00437126">
        <w:rPr>
          <w:rFonts w:ascii="Garamond" w:hAnsi="Garamond"/>
        </w:rPr>
        <w:t>)</w:t>
      </w:r>
      <w:r w:rsidRPr="00B21078">
        <w:rPr>
          <w:rFonts w:ascii="Garamond" w:hAnsi="Garamond" w:cs="Times New Roman"/>
        </w:rPr>
        <w:t>.</w:t>
      </w:r>
    </w:p>
    <w:p w14:paraId="3671F8DD" w14:textId="20AE0C23" w:rsidR="00A30338" w:rsidRDefault="00A30338">
      <w:pPr>
        <w:spacing w:line="480" w:lineRule="auto"/>
        <w:ind w:firstLine="720"/>
        <w:rPr>
          <w:rFonts w:ascii="Garamond" w:eastAsia="Times New Roman" w:hAnsi="Garamond" w:cs="Times New Roman"/>
        </w:rPr>
      </w:pPr>
      <w:r w:rsidRPr="00B21078">
        <w:rPr>
          <w:rFonts w:ascii="Garamond" w:hAnsi="Garamond" w:cs="Times New Roman"/>
        </w:rPr>
        <w:t xml:space="preserve">Following their completion, India announced that operations had “ceased” and that it did “not have any plans for further continuation,” shifting the </w:t>
      </w:r>
      <w:r w:rsidR="00F47ED6">
        <w:rPr>
          <w:rFonts w:ascii="Garamond" w:hAnsi="Garamond" w:cs="Times New Roman"/>
        </w:rPr>
        <w:t>decision of escalatory retaliation to</w:t>
      </w:r>
      <w:r w:rsidRPr="00B21078">
        <w:rPr>
          <w:rFonts w:ascii="Garamond" w:hAnsi="Garamond" w:cs="Times New Roman"/>
        </w:rPr>
        <w:t xml:space="preserve"> Pakistan</w:t>
      </w:r>
      <w:r w:rsidR="00437126">
        <w:rPr>
          <w:rFonts w:ascii="Garamond" w:hAnsi="Garamond" w:cs="Times New Roman"/>
        </w:rPr>
        <w:t xml:space="preserve"> (</w:t>
      </w:r>
      <w:r w:rsidR="00437126">
        <w:rPr>
          <w:rFonts w:ascii="Garamond" w:hAnsi="Garamond"/>
        </w:rPr>
        <w:t>“</w:t>
      </w:r>
      <w:r w:rsidR="00437126" w:rsidRPr="0057038A">
        <w:rPr>
          <w:rFonts w:ascii="Garamond" w:hAnsi="Garamond"/>
        </w:rPr>
        <w:t xml:space="preserve">Surgical Strikes: Full Text of Indian Army DGMO Lt Gen </w:t>
      </w:r>
      <w:r w:rsidR="00437126">
        <w:rPr>
          <w:rFonts w:ascii="Garamond" w:hAnsi="Garamond"/>
        </w:rPr>
        <w:t>Ranbir Singh’s Press Conference</w:t>
      </w:r>
      <w:r w:rsidR="00DE5BC7">
        <w:rPr>
          <w:rFonts w:ascii="Garamond" w:hAnsi="Garamond"/>
        </w:rPr>
        <w:t>,</w:t>
      </w:r>
      <w:r w:rsidR="00437126">
        <w:rPr>
          <w:rFonts w:ascii="Garamond" w:hAnsi="Garamond"/>
        </w:rPr>
        <w:t>”</w:t>
      </w:r>
      <w:r w:rsidR="00437126" w:rsidRPr="0057038A">
        <w:rPr>
          <w:rFonts w:ascii="Garamond" w:hAnsi="Garamond"/>
        </w:rPr>
        <w:t xml:space="preserve"> 2016</w:t>
      </w:r>
      <w:r w:rsidR="00437126">
        <w:rPr>
          <w:rFonts w:ascii="Garamond" w:hAnsi="Garamond"/>
        </w:rPr>
        <w:t>)</w:t>
      </w:r>
      <w:r w:rsidRPr="00B21078">
        <w:rPr>
          <w:rFonts w:ascii="Garamond" w:hAnsi="Garamond" w:cs="Times New Roman"/>
        </w:rPr>
        <w:t>.</w:t>
      </w:r>
      <w:r>
        <w:rPr>
          <w:rFonts w:ascii="Garamond" w:hAnsi="Garamond" w:cs="Times New Roman"/>
        </w:rPr>
        <w:t xml:space="preserve"> </w:t>
      </w:r>
      <w:r w:rsidRPr="00B21078">
        <w:rPr>
          <w:rFonts w:ascii="Garamond" w:hAnsi="Garamond" w:cs="Times New Roman"/>
        </w:rPr>
        <w:t>Most observers</w:t>
      </w:r>
      <w:r>
        <w:rPr>
          <w:rFonts w:ascii="Garamond" w:hAnsi="Garamond" w:cs="Times New Roman"/>
        </w:rPr>
        <w:t xml:space="preserve"> </w:t>
      </w:r>
      <w:r w:rsidR="00B924B2">
        <w:rPr>
          <w:rFonts w:ascii="Garamond" w:hAnsi="Garamond" w:cs="Times New Roman"/>
        </w:rPr>
        <w:t>believe</w:t>
      </w:r>
      <w:r w:rsidR="00B924B2" w:rsidRPr="00B21078">
        <w:rPr>
          <w:rFonts w:ascii="Garamond" w:hAnsi="Garamond" w:cs="Times New Roman"/>
        </w:rPr>
        <w:t xml:space="preserve"> </w:t>
      </w:r>
      <w:r w:rsidRPr="00B21078">
        <w:rPr>
          <w:rFonts w:ascii="Garamond" w:hAnsi="Garamond" w:cs="Times New Roman"/>
        </w:rPr>
        <w:t>Pakistan</w:t>
      </w:r>
      <w:r>
        <w:rPr>
          <w:rFonts w:ascii="Garamond" w:hAnsi="Garamond" w:cs="Times New Roman"/>
        </w:rPr>
        <w:t>’s</w:t>
      </w:r>
      <w:r w:rsidRPr="00B21078">
        <w:rPr>
          <w:rFonts w:ascii="Garamond" w:hAnsi="Garamond" w:cs="Times New Roman"/>
        </w:rPr>
        <w:t xml:space="preserve"> government face</w:t>
      </w:r>
      <w:r w:rsidR="00B924B2">
        <w:rPr>
          <w:rFonts w:ascii="Garamond" w:hAnsi="Garamond" w:cs="Times New Roman"/>
        </w:rPr>
        <w:t>d</w:t>
      </w:r>
      <w:r w:rsidRPr="00B21078">
        <w:rPr>
          <w:rFonts w:ascii="Garamond" w:hAnsi="Garamond" w:cs="Times New Roman"/>
        </w:rPr>
        <w:t xml:space="preserve"> similar public pressures to counter-attack</w:t>
      </w:r>
      <w:r w:rsidR="004712AD">
        <w:rPr>
          <w:rFonts w:ascii="Garamond" w:hAnsi="Garamond" w:cs="Times New Roman"/>
        </w:rPr>
        <w:t xml:space="preserve">. As </w:t>
      </w:r>
      <w:r w:rsidR="00B642C1">
        <w:rPr>
          <w:rFonts w:ascii="Garamond" w:hAnsi="Garamond" w:cs="Times New Roman"/>
        </w:rPr>
        <w:t>Pakistan</w:t>
      </w:r>
      <w:r w:rsidR="004712AD">
        <w:rPr>
          <w:rFonts w:ascii="Garamond" w:hAnsi="Garamond" w:cs="Times New Roman"/>
        </w:rPr>
        <w:t xml:space="preserve"> took steps consistent with </w:t>
      </w:r>
      <w:r w:rsidR="00B642C1">
        <w:rPr>
          <w:rFonts w:ascii="Garamond" w:hAnsi="Garamond" w:cs="Times New Roman"/>
        </w:rPr>
        <w:t>having been attacked</w:t>
      </w:r>
      <w:r w:rsidR="004712AD">
        <w:rPr>
          <w:rFonts w:ascii="Garamond" w:hAnsi="Garamond" w:cs="Times New Roman"/>
        </w:rPr>
        <w:t xml:space="preserve">—by </w:t>
      </w:r>
      <w:r w:rsidR="004712AD" w:rsidRPr="00B21078">
        <w:rPr>
          <w:rFonts w:ascii="Garamond" w:hAnsi="Garamond" w:cs="Times New Roman"/>
        </w:rPr>
        <w:t xml:space="preserve">convening high-level </w:t>
      </w:r>
      <w:r w:rsidR="004712AD">
        <w:rPr>
          <w:rFonts w:ascii="Garamond" w:hAnsi="Garamond" w:cs="Times New Roman"/>
        </w:rPr>
        <w:t xml:space="preserve">national security </w:t>
      </w:r>
      <w:r w:rsidR="004712AD" w:rsidRPr="00B21078">
        <w:rPr>
          <w:rFonts w:ascii="Garamond" w:hAnsi="Garamond" w:cs="Times New Roman"/>
        </w:rPr>
        <w:t xml:space="preserve">meetings, raising alert levels, and </w:t>
      </w:r>
      <w:r w:rsidR="004712AD">
        <w:rPr>
          <w:rFonts w:ascii="Garamond" w:hAnsi="Garamond" w:cs="Times New Roman"/>
        </w:rPr>
        <w:t>mobilizing troops along the border</w:t>
      </w:r>
      <w:r w:rsidR="004712AD" w:rsidRPr="00B21078">
        <w:rPr>
          <w:rFonts w:ascii="Garamond" w:hAnsi="Garamond" w:cs="Times New Roman"/>
        </w:rPr>
        <w:t>—</w:t>
      </w:r>
      <w:r w:rsidRPr="00B21078">
        <w:rPr>
          <w:rFonts w:ascii="Garamond" w:hAnsi="Garamond" w:cs="Times New Roman"/>
        </w:rPr>
        <w:t>India braced for a response</w:t>
      </w:r>
      <w:r w:rsidR="00DE5BC7">
        <w:rPr>
          <w:rFonts w:ascii="Garamond" w:hAnsi="Garamond" w:cs="Times New Roman"/>
        </w:rPr>
        <w:t xml:space="preserve"> (</w:t>
      </w:r>
      <w:r w:rsidR="00DE5BC7" w:rsidRPr="0057038A">
        <w:rPr>
          <w:rFonts w:ascii="Garamond" w:hAnsi="Garamond"/>
        </w:rPr>
        <w:t xml:space="preserve">Gokhale 2017, 29; </w:t>
      </w:r>
      <w:r w:rsidR="00DE5BC7" w:rsidRPr="0057038A">
        <w:rPr>
          <w:rFonts w:ascii="Garamond" w:hAnsi="Garamond"/>
          <w:i/>
        </w:rPr>
        <w:t>Indian Express</w:t>
      </w:r>
      <w:r w:rsidR="00DE5BC7" w:rsidRPr="0057038A">
        <w:rPr>
          <w:rFonts w:ascii="Garamond" w:hAnsi="Garamond"/>
        </w:rPr>
        <w:t>,</w:t>
      </w:r>
      <w:r w:rsidR="00DE5BC7" w:rsidRPr="0057038A">
        <w:rPr>
          <w:rFonts w:ascii="Garamond" w:hAnsi="Garamond"/>
          <w:i/>
        </w:rPr>
        <w:t xml:space="preserve"> </w:t>
      </w:r>
      <w:r w:rsidR="00DE5BC7" w:rsidRPr="0057038A">
        <w:rPr>
          <w:rFonts w:ascii="Garamond" w:hAnsi="Garamond"/>
        </w:rPr>
        <w:t>27 September 2017</w:t>
      </w:r>
      <w:r w:rsidR="00DE5BC7">
        <w:rPr>
          <w:rFonts w:ascii="Garamond" w:hAnsi="Garamond"/>
        </w:rPr>
        <w:t>)</w:t>
      </w:r>
      <w:r w:rsidRPr="00B21078">
        <w:rPr>
          <w:rFonts w:ascii="Garamond" w:hAnsi="Garamond" w:cs="Times New Roman"/>
        </w:rPr>
        <w:t xml:space="preserve">. </w:t>
      </w:r>
      <w:r>
        <w:rPr>
          <w:rFonts w:ascii="Garamond" w:hAnsi="Garamond" w:cs="Times New Roman"/>
        </w:rPr>
        <w:t xml:space="preserve">Instead, Pakistan </w:t>
      </w:r>
      <w:r w:rsidR="00B924B2">
        <w:rPr>
          <w:rFonts w:ascii="Garamond" w:hAnsi="Garamond" w:cs="Times New Roman"/>
        </w:rPr>
        <w:t>was able to</w:t>
      </w:r>
      <w:r w:rsidRPr="00B21078">
        <w:rPr>
          <w:rFonts w:ascii="Garamond" w:hAnsi="Garamond" w:cs="Times New Roman"/>
        </w:rPr>
        <w:t xml:space="preserve"> sidestep pressure </w:t>
      </w:r>
      <w:r w:rsidR="00B924B2">
        <w:rPr>
          <w:rFonts w:ascii="Garamond" w:hAnsi="Garamond" w:cs="Times New Roman"/>
        </w:rPr>
        <w:t xml:space="preserve">to retaliate </w:t>
      </w:r>
      <w:r w:rsidRPr="00B21078">
        <w:rPr>
          <w:rFonts w:ascii="Garamond" w:hAnsi="Garamond" w:cs="Times New Roman"/>
        </w:rPr>
        <w:t xml:space="preserve">by categorically denying that </w:t>
      </w:r>
      <w:r w:rsidR="00B642C1">
        <w:rPr>
          <w:rFonts w:ascii="Garamond" w:hAnsi="Garamond" w:cs="Times New Roman"/>
        </w:rPr>
        <w:t>any</w:t>
      </w:r>
      <w:r w:rsidRPr="00B21078">
        <w:rPr>
          <w:rFonts w:ascii="Garamond" w:hAnsi="Garamond" w:cs="Times New Roman"/>
        </w:rPr>
        <w:t xml:space="preserve"> strike took place</w:t>
      </w:r>
      <w:r w:rsidR="004830AE">
        <w:rPr>
          <w:rFonts w:ascii="Garamond" w:hAnsi="Garamond" w:cs="Times New Roman"/>
        </w:rPr>
        <w:t>:</w:t>
      </w:r>
      <w:r w:rsidR="004830AE">
        <w:rPr>
          <w:rFonts w:ascii="Garamond" w:hAnsi="Garamond"/>
        </w:rPr>
        <w:t xml:space="preserve"> </w:t>
      </w:r>
      <w:r w:rsidRPr="00B21078">
        <w:rPr>
          <w:rFonts w:ascii="Garamond" w:hAnsi="Garamond" w:cs="Times New Roman"/>
        </w:rPr>
        <w:t xml:space="preserve">a position </w:t>
      </w:r>
      <w:r w:rsidR="004712AD">
        <w:rPr>
          <w:rFonts w:ascii="Garamond" w:hAnsi="Garamond" w:cs="Times New Roman"/>
        </w:rPr>
        <w:t xml:space="preserve">sustainable due to </w:t>
      </w:r>
      <w:r w:rsidRPr="00B21078">
        <w:rPr>
          <w:rFonts w:ascii="Garamond" w:hAnsi="Garamond" w:cs="Times New Roman"/>
        </w:rPr>
        <w:t xml:space="preserve">inconsistencies </w:t>
      </w:r>
      <w:r w:rsidR="00B642C1">
        <w:rPr>
          <w:rFonts w:ascii="Garamond" w:hAnsi="Garamond" w:cs="Times New Roman"/>
        </w:rPr>
        <w:t>in</w:t>
      </w:r>
      <w:r w:rsidR="004712AD" w:rsidRPr="00B21078">
        <w:rPr>
          <w:rFonts w:ascii="Garamond" w:hAnsi="Garamond" w:cs="Times New Roman"/>
        </w:rPr>
        <w:t xml:space="preserve"> </w:t>
      </w:r>
      <w:r w:rsidRPr="00B21078">
        <w:rPr>
          <w:rFonts w:ascii="Garamond" w:hAnsi="Garamond" w:cs="Times New Roman"/>
        </w:rPr>
        <w:t xml:space="preserve">the exaggerated </w:t>
      </w:r>
      <w:r w:rsidR="004712AD">
        <w:rPr>
          <w:rFonts w:ascii="Garamond" w:hAnsi="Garamond" w:cs="Times New Roman"/>
        </w:rPr>
        <w:t xml:space="preserve">Indian media </w:t>
      </w:r>
      <w:r w:rsidRPr="00B21078">
        <w:rPr>
          <w:rFonts w:ascii="Garamond" w:hAnsi="Garamond" w:cs="Times New Roman"/>
        </w:rPr>
        <w:t>claims.</w:t>
      </w:r>
      <w:r w:rsidR="006A7954">
        <w:rPr>
          <w:rStyle w:val="FootnoteReference"/>
          <w:rFonts w:ascii="Garamond" w:hAnsi="Garamond" w:cs="Times New Roman"/>
        </w:rPr>
        <w:footnoteReference w:id="6"/>
      </w:r>
      <w:r>
        <w:rPr>
          <w:rFonts w:ascii="Garamond" w:hAnsi="Garamond" w:cs="Times New Roman"/>
        </w:rPr>
        <w:t xml:space="preserve"> </w:t>
      </w:r>
      <w:r w:rsidR="00403265">
        <w:rPr>
          <w:rFonts w:ascii="Garamond" w:hAnsi="Garamond" w:cs="Times New Roman"/>
        </w:rPr>
        <w:t>Alt</w:t>
      </w:r>
      <w:r>
        <w:rPr>
          <w:rFonts w:ascii="Garamond" w:hAnsi="Garamond" w:cs="Times New Roman"/>
        </w:rPr>
        <w:t>hough the crisis de-escalated</w:t>
      </w:r>
      <w:r w:rsidRPr="00B21078">
        <w:rPr>
          <w:rFonts w:ascii="Garamond" w:hAnsi="Garamond" w:cs="Times New Roman"/>
        </w:rPr>
        <w:t>, th</w:t>
      </w:r>
      <w:r>
        <w:rPr>
          <w:rFonts w:ascii="Garamond" w:hAnsi="Garamond" w:cs="Times New Roman"/>
        </w:rPr>
        <w:t>is</w:t>
      </w:r>
      <w:r w:rsidRPr="00B21078">
        <w:rPr>
          <w:rFonts w:ascii="Garamond" w:hAnsi="Garamond" w:cs="Times New Roman"/>
        </w:rPr>
        <w:t xml:space="preserve"> incident highlights the real dangers of </w:t>
      </w:r>
      <w:r>
        <w:rPr>
          <w:rFonts w:ascii="Garamond" w:hAnsi="Garamond" w:cs="Times New Roman"/>
        </w:rPr>
        <w:t xml:space="preserve">public pressure in </w:t>
      </w:r>
      <w:r w:rsidRPr="00B21078">
        <w:rPr>
          <w:rFonts w:ascii="Garamond" w:hAnsi="Garamond" w:cs="Times New Roman"/>
        </w:rPr>
        <w:t xml:space="preserve">contemporary India-Pakistan crises. In </w:t>
      </w:r>
      <w:r>
        <w:rPr>
          <w:rFonts w:ascii="Garamond" w:hAnsi="Garamond" w:cs="Times New Roman"/>
        </w:rPr>
        <w:t>Uri’s aftermath</w:t>
      </w:r>
      <w:r w:rsidRPr="00B21078">
        <w:rPr>
          <w:rFonts w:ascii="Garamond" w:hAnsi="Garamond" w:cs="Times New Roman"/>
        </w:rPr>
        <w:t xml:space="preserve">, </w:t>
      </w:r>
      <w:r w:rsidR="00B924B2">
        <w:rPr>
          <w:rFonts w:ascii="Garamond" w:hAnsi="Garamond" w:cs="Times New Roman"/>
        </w:rPr>
        <w:t>a senior Pakistani official assured retaliation for any future Indian strikes</w:t>
      </w:r>
      <w:r w:rsidR="00DE5BC7">
        <w:rPr>
          <w:rFonts w:ascii="Garamond" w:hAnsi="Garamond" w:cs="Times New Roman"/>
        </w:rPr>
        <w:t xml:space="preserve"> (</w:t>
      </w:r>
      <w:r w:rsidR="00DE5BC7" w:rsidRPr="0057038A">
        <w:rPr>
          <w:rFonts w:ascii="Garamond" w:hAnsi="Garamond"/>
          <w:i/>
        </w:rPr>
        <w:t>Times of India</w:t>
      </w:r>
      <w:r w:rsidR="00DE5BC7" w:rsidRPr="0057038A">
        <w:rPr>
          <w:rFonts w:ascii="Garamond" w:hAnsi="Garamond"/>
        </w:rPr>
        <w:t>, 13 October 2016</w:t>
      </w:r>
      <w:r w:rsidR="00DE5BC7">
        <w:rPr>
          <w:rFonts w:ascii="Garamond" w:hAnsi="Garamond"/>
        </w:rPr>
        <w:t>)</w:t>
      </w:r>
      <w:r w:rsidR="00B924B2">
        <w:rPr>
          <w:rFonts w:ascii="Garamond" w:hAnsi="Garamond" w:cs="Times New Roman"/>
        </w:rPr>
        <w:t>. O</w:t>
      </w:r>
      <w:r w:rsidRPr="00B21078">
        <w:rPr>
          <w:rFonts w:ascii="Garamond" w:hAnsi="Garamond" w:cs="Times New Roman"/>
        </w:rPr>
        <w:t xml:space="preserve">ne </w:t>
      </w:r>
      <w:r w:rsidR="005A66AE">
        <w:rPr>
          <w:rFonts w:ascii="Garamond" w:hAnsi="Garamond" w:cs="Times New Roman"/>
        </w:rPr>
        <w:t xml:space="preserve">prominent Pakistani </w:t>
      </w:r>
      <w:r w:rsidR="00B924B2">
        <w:rPr>
          <w:rFonts w:ascii="Garamond" w:hAnsi="Garamond" w:cs="Times New Roman"/>
        </w:rPr>
        <w:t>analyst</w:t>
      </w:r>
      <w:r w:rsidR="00B924B2" w:rsidRPr="00B21078">
        <w:rPr>
          <w:rFonts w:ascii="Garamond" w:hAnsi="Garamond" w:cs="Times New Roman"/>
        </w:rPr>
        <w:t xml:space="preserve"> </w:t>
      </w:r>
      <w:r w:rsidR="004712AD">
        <w:rPr>
          <w:rFonts w:ascii="Garamond" w:hAnsi="Garamond" w:cs="Times New Roman"/>
        </w:rPr>
        <w:t>warned</w:t>
      </w:r>
      <w:r w:rsidR="004712AD" w:rsidRPr="00B21078">
        <w:rPr>
          <w:rFonts w:ascii="Garamond" w:hAnsi="Garamond" w:cs="Times New Roman"/>
        </w:rPr>
        <w:t xml:space="preserve"> </w:t>
      </w:r>
      <w:r w:rsidR="004712AD">
        <w:rPr>
          <w:rFonts w:ascii="Garamond" w:hAnsi="Garamond" w:cs="Times New Roman"/>
        </w:rPr>
        <w:t xml:space="preserve">of </w:t>
      </w:r>
      <w:r w:rsidRPr="00B21078">
        <w:rPr>
          <w:rFonts w:ascii="Garamond" w:hAnsi="Garamond" w:cs="Times New Roman"/>
        </w:rPr>
        <w:t xml:space="preserve">both countries </w:t>
      </w:r>
      <w:r w:rsidR="004712AD">
        <w:rPr>
          <w:rFonts w:ascii="Garamond" w:hAnsi="Garamond" w:cs="Times New Roman"/>
        </w:rPr>
        <w:t>tying</w:t>
      </w:r>
      <w:r w:rsidRPr="00B21078">
        <w:rPr>
          <w:rFonts w:ascii="Garamond" w:hAnsi="Garamond" w:cs="Times New Roman"/>
        </w:rPr>
        <w:t xml:space="preserve"> </w:t>
      </w:r>
      <w:r w:rsidR="004712AD">
        <w:rPr>
          <w:rFonts w:ascii="Garamond" w:hAnsi="Garamond" w:cs="Times New Roman"/>
        </w:rPr>
        <w:lastRenderedPageBreak/>
        <w:t>leaders’</w:t>
      </w:r>
      <w:r w:rsidRPr="00B21078">
        <w:rPr>
          <w:rFonts w:ascii="Garamond" w:hAnsi="Garamond" w:cs="Times New Roman"/>
        </w:rPr>
        <w:t xml:space="preserve"> hands </w:t>
      </w:r>
      <w:r w:rsidR="004712AD">
        <w:rPr>
          <w:rFonts w:ascii="Garamond" w:hAnsi="Garamond" w:cs="Times New Roman"/>
        </w:rPr>
        <w:t>through</w:t>
      </w:r>
      <w:r w:rsidRPr="00B21078">
        <w:rPr>
          <w:rFonts w:ascii="Garamond" w:hAnsi="Garamond" w:cs="Times New Roman"/>
        </w:rPr>
        <w:t xml:space="preserve"> domestic audiences, arguing “</w:t>
      </w:r>
      <w:r w:rsidRPr="00B21078">
        <w:rPr>
          <w:rFonts w:ascii="Garamond" w:eastAsia="Times New Roman" w:hAnsi="Garamond" w:cs="Times New Roman"/>
        </w:rPr>
        <w:t>both states are being too casual about weaponising society and public opinion against the other country”</w:t>
      </w:r>
      <w:r w:rsidR="00DE5BC7">
        <w:rPr>
          <w:rFonts w:ascii="Garamond" w:eastAsia="Times New Roman" w:hAnsi="Garamond" w:cs="Times New Roman"/>
        </w:rPr>
        <w:t xml:space="preserve"> (</w:t>
      </w:r>
      <w:r w:rsidR="00DE5BC7" w:rsidRPr="0057038A">
        <w:rPr>
          <w:rFonts w:ascii="Garamond" w:hAnsi="Garamond"/>
          <w:i/>
        </w:rPr>
        <w:t>Dawn</w:t>
      </w:r>
      <w:r w:rsidR="00DE5BC7">
        <w:rPr>
          <w:rFonts w:ascii="Garamond" w:hAnsi="Garamond"/>
        </w:rPr>
        <w:t>, 2 October 2016).</w:t>
      </w:r>
      <w:r>
        <w:rPr>
          <w:rFonts w:ascii="Garamond" w:eastAsia="Times New Roman" w:hAnsi="Garamond" w:cs="Times New Roman"/>
        </w:rPr>
        <w:t xml:space="preserve"> The longstanding India-Pakistan dispute therefore provides fertile ground for examining escalation pressures, while recent crises</w:t>
      </w:r>
      <w:r w:rsidR="00403265">
        <w:rPr>
          <w:rFonts w:ascii="Garamond" w:eastAsia="Times New Roman" w:hAnsi="Garamond" w:cs="Times New Roman"/>
        </w:rPr>
        <w:t>, such as Uri,</w:t>
      </w:r>
      <w:r>
        <w:rPr>
          <w:rFonts w:ascii="Garamond" w:eastAsia="Times New Roman" w:hAnsi="Garamond" w:cs="Times New Roman"/>
        </w:rPr>
        <w:t xml:space="preserve"> provide realism to the crisis vignette that </w:t>
      </w:r>
      <w:r w:rsidR="00403265">
        <w:rPr>
          <w:rFonts w:ascii="Garamond" w:eastAsia="Times New Roman" w:hAnsi="Garamond" w:cs="Times New Roman"/>
        </w:rPr>
        <w:t>we utilize</w:t>
      </w:r>
      <w:r w:rsidR="004830AE">
        <w:rPr>
          <w:rFonts w:ascii="Garamond" w:eastAsia="Times New Roman" w:hAnsi="Garamond" w:cs="Times New Roman"/>
        </w:rPr>
        <w:t xml:space="preserve">, bolstering </w:t>
      </w:r>
      <w:r>
        <w:rPr>
          <w:rFonts w:ascii="Garamond" w:eastAsia="Times New Roman" w:hAnsi="Garamond" w:cs="Times New Roman"/>
        </w:rPr>
        <w:t>the external validity of our survey findings</w:t>
      </w:r>
      <w:r w:rsidR="004712AD">
        <w:rPr>
          <w:rFonts w:ascii="Garamond" w:eastAsia="Times New Roman" w:hAnsi="Garamond" w:cs="Times New Roman"/>
        </w:rPr>
        <w:t>.</w:t>
      </w:r>
    </w:p>
    <w:p w14:paraId="09FF220E" w14:textId="39E52F9B" w:rsidR="00605386" w:rsidRPr="007A5EB9" w:rsidRDefault="00605386" w:rsidP="00605386">
      <w:pPr>
        <w:spacing w:line="480" w:lineRule="auto"/>
        <w:ind w:firstLine="720"/>
        <w:rPr>
          <w:rFonts w:ascii="Garamond" w:hAnsi="Garamond"/>
        </w:rPr>
      </w:pPr>
      <w:r>
        <w:rPr>
          <w:rFonts w:ascii="Garamond" w:eastAsia="Times New Roman" w:hAnsi="Garamond" w:cs="Times New Roman"/>
        </w:rPr>
        <w:t>Pakistan has a hybrid regime, in which the military and elected civilian leadership compete for</w:t>
      </w:r>
      <w:r w:rsidR="00A70561">
        <w:rPr>
          <w:rFonts w:ascii="Garamond" w:eastAsia="Times New Roman" w:hAnsi="Garamond" w:cs="Times New Roman"/>
        </w:rPr>
        <w:t>,</w:t>
      </w:r>
      <w:r>
        <w:rPr>
          <w:rFonts w:ascii="Garamond" w:eastAsia="Times New Roman" w:hAnsi="Garamond" w:cs="Times New Roman"/>
        </w:rPr>
        <w:t xml:space="preserve"> and share</w:t>
      </w:r>
      <w:r w:rsidR="00A70561">
        <w:rPr>
          <w:rFonts w:ascii="Garamond" w:eastAsia="Times New Roman" w:hAnsi="Garamond" w:cs="Times New Roman"/>
        </w:rPr>
        <w:t>,</w:t>
      </w:r>
      <w:r>
        <w:rPr>
          <w:rFonts w:ascii="Garamond" w:eastAsia="Times New Roman" w:hAnsi="Garamond" w:cs="Times New Roman"/>
        </w:rPr>
        <w:t xml:space="preserve"> political power. </w:t>
      </w:r>
      <w:r>
        <w:rPr>
          <w:rFonts w:ascii="Garamond" w:hAnsi="Garamond"/>
        </w:rPr>
        <w:t xml:space="preserve">Despite the increasing abundance of hybrid or transitional regimes in the international system (see Gunitsky 2017, 42), survey experimental work has largely focused on established democracies (mostly the United States) and, to a considerably lesser extent, autocracies (mostly China). While Pakistan is not representative of hybrid regimes writ large given the considerable institutional diversity contained within that label (Collier and Levitsky 1997), no attempt to understand the characteristics of hybrid regimes can be complete without discrete empirical probes into the nature of public opinion and policy in specific cases. In other words, this survey experimental work in Pakistan should be viewed as an early attempt to build specific case knowledge that contributes both to understanding a substantively important case as well as to advance what will by necessity be a cross-national endeavor. </w:t>
      </w:r>
    </w:p>
    <w:p w14:paraId="592EF600" w14:textId="77777777" w:rsidR="003D649F" w:rsidRPr="00B21078" w:rsidRDefault="003D649F" w:rsidP="0009296A">
      <w:pPr>
        <w:rPr>
          <w:rFonts w:ascii="Garamond" w:hAnsi="Garamond"/>
          <w:b/>
        </w:rPr>
      </w:pPr>
    </w:p>
    <w:p w14:paraId="5FD9D8B5" w14:textId="6EE9613E" w:rsidR="0050514D" w:rsidRPr="00B21078" w:rsidRDefault="00777BF4" w:rsidP="0009296A">
      <w:pPr>
        <w:pStyle w:val="ListParagraph"/>
        <w:numPr>
          <w:ilvl w:val="0"/>
          <w:numId w:val="1"/>
        </w:numPr>
        <w:ind w:left="0" w:firstLine="0"/>
        <w:rPr>
          <w:rFonts w:ascii="Garamond" w:hAnsi="Garamond"/>
          <w:b/>
        </w:rPr>
      </w:pPr>
      <w:r w:rsidRPr="00B21078">
        <w:rPr>
          <w:rFonts w:ascii="Garamond" w:hAnsi="Garamond"/>
          <w:b/>
        </w:rPr>
        <w:t xml:space="preserve">Research </w:t>
      </w:r>
      <w:r w:rsidR="0050514D" w:rsidRPr="00B21078">
        <w:rPr>
          <w:rFonts w:ascii="Garamond" w:hAnsi="Garamond"/>
          <w:b/>
        </w:rPr>
        <w:t>Design</w:t>
      </w:r>
    </w:p>
    <w:p w14:paraId="0A447599" w14:textId="77777777" w:rsidR="009A0835" w:rsidRPr="00B21078" w:rsidRDefault="009A0835" w:rsidP="0009296A">
      <w:pPr>
        <w:pStyle w:val="ListParagraph"/>
        <w:ind w:left="0"/>
        <w:rPr>
          <w:rFonts w:ascii="Garamond" w:hAnsi="Garamond"/>
          <w:b/>
        </w:rPr>
      </w:pPr>
    </w:p>
    <w:p w14:paraId="53B0C2A1" w14:textId="1E8E8BB3" w:rsidR="0069633A" w:rsidRDefault="00526D59" w:rsidP="0009296A">
      <w:pPr>
        <w:spacing w:line="480" w:lineRule="auto"/>
        <w:ind w:firstLine="720"/>
        <w:rPr>
          <w:rFonts w:ascii="Garamond" w:hAnsi="Garamond"/>
        </w:rPr>
      </w:pPr>
      <w:r w:rsidRPr="00B21078">
        <w:rPr>
          <w:rFonts w:ascii="Garamond" w:hAnsi="Garamond"/>
        </w:rPr>
        <w:t>We conducted a</w:t>
      </w:r>
      <w:r w:rsidR="00863416" w:rsidRPr="00B21078">
        <w:rPr>
          <w:rFonts w:ascii="Garamond" w:hAnsi="Garamond"/>
        </w:rPr>
        <w:t xml:space="preserve"> </w:t>
      </w:r>
      <w:r w:rsidR="00777BF4" w:rsidRPr="00B21078">
        <w:rPr>
          <w:rFonts w:ascii="Garamond" w:hAnsi="Garamond"/>
        </w:rPr>
        <w:t xml:space="preserve">door-to-door </w:t>
      </w:r>
      <w:r w:rsidR="00863416" w:rsidRPr="00B21078">
        <w:rPr>
          <w:rFonts w:ascii="Garamond" w:hAnsi="Garamond"/>
        </w:rPr>
        <w:t xml:space="preserve">household survey </w:t>
      </w:r>
      <w:r w:rsidR="00777BF4" w:rsidRPr="00B21078">
        <w:rPr>
          <w:rFonts w:ascii="Garamond" w:hAnsi="Garamond"/>
        </w:rPr>
        <w:t>among 1</w:t>
      </w:r>
      <w:r w:rsidR="004213F4">
        <w:rPr>
          <w:rFonts w:ascii="Garamond" w:hAnsi="Garamond"/>
        </w:rPr>
        <w:t>,</w:t>
      </w:r>
      <w:r w:rsidR="00777BF4" w:rsidRPr="00B21078">
        <w:rPr>
          <w:rFonts w:ascii="Garamond" w:hAnsi="Garamond"/>
        </w:rPr>
        <w:t xml:space="preserve">823 individuals </w:t>
      </w:r>
      <w:r w:rsidR="00863416" w:rsidRPr="00B21078">
        <w:rPr>
          <w:rFonts w:ascii="Garamond" w:hAnsi="Garamond"/>
        </w:rPr>
        <w:t>in Punjab province</w:t>
      </w:r>
      <w:r w:rsidRPr="00B21078">
        <w:rPr>
          <w:rFonts w:ascii="Garamond" w:hAnsi="Garamond"/>
        </w:rPr>
        <w:t>, with an embedded experimental modul</w:t>
      </w:r>
      <w:r w:rsidR="00A21E17" w:rsidRPr="00B21078">
        <w:rPr>
          <w:rFonts w:ascii="Garamond" w:hAnsi="Garamond"/>
        </w:rPr>
        <w:t>e. The survey was conducted in U</w:t>
      </w:r>
      <w:r w:rsidRPr="00B21078">
        <w:rPr>
          <w:rFonts w:ascii="Garamond" w:hAnsi="Garamond"/>
        </w:rPr>
        <w:t>rdu</w:t>
      </w:r>
      <w:r w:rsidR="00863416" w:rsidRPr="00B21078">
        <w:rPr>
          <w:rFonts w:ascii="Garamond" w:hAnsi="Garamond"/>
        </w:rPr>
        <w:t xml:space="preserve"> by the Pakistan Institute of Public Opinion (an affiliate of Ga</w:t>
      </w:r>
      <w:r w:rsidR="00777BF4" w:rsidRPr="00B21078">
        <w:rPr>
          <w:rFonts w:ascii="Garamond" w:hAnsi="Garamond"/>
        </w:rPr>
        <w:t>llup International in Pakistan), a public opinion and research firm.</w:t>
      </w:r>
      <w:r w:rsidR="00863416" w:rsidRPr="00B21078">
        <w:rPr>
          <w:rFonts w:ascii="Garamond" w:hAnsi="Garamond"/>
        </w:rPr>
        <w:t xml:space="preserve"> In keeping with cultural norms, </w:t>
      </w:r>
      <w:r w:rsidR="00D12C0F" w:rsidRPr="00B21078">
        <w:rPr>
          <w:rFonts w:ascii="Garamond" w:hAnsi="Garamond"/>
        </w:rPr>
        <w:t>all-</w:t>
      </w:r>
      <w:r w:rsidR="00863416" w:rsidRPr="00B21078">
        <w:rPr>
          <w:rFonts w:ascii="Garamond" w:hAnsi="Garamond"/>
        </w:rPr>
        <w:t xml:space="preserve">female </w:t>
      </w:r>
      <w:r w:rsidR="00D12C0F" w:rsidRPr="00B21078">
        <w:rPr>
          <w:rFonts w:ascii="Garamond" w:hAnsi="Garamond"/>
        </w:rPr>
        <w:t xml:space="preserve">teams of </w:t>
      </w:r>
      <w:r w:rsidR="00863416" w:rsidRPr="00B21078">
        <w:rPr>
          <w:rFonts w:ascii="Garamond" w:hAnsi="Garamond"/>
        </w:rPr>
        <w:t xml:space="preserve">enumerators interviewed women and </w:t>
      </w:r>
      <w:r w:rsidR="00D12C0F" w:rsidRPr="00B21078">
        <w:rPr>
          <w:rFonts w:ascii="Garamond" w:hAnsi="Garamond"/>
        </w:rPr>
        <w:t>all-</w:t>
      </w:r>
      <w:r w:rsidR="00863416" w:rsidRPr="00B21078">
        <w:rPr>
          <w:rFonts w:ascii="Garamond" w:hAnsi="Garamond"/>
        </w:rPr>
        <w:t xml:space="preserve">male </w:t>
      </w:r>
      <w:r w:rsidR="00D12C0F" w:rsidRPr="00B21078">
        <w:rPr>
          <w:rFonts w:ascii="Garamond" w:hAnsi="Garamond"/>
        </w:rPr>
        <w:t xml:space="preserve">teams </w:t>
      </w:r>
      <w:r w:rsidR="00863416" w:rsidRPr="00B21078">
        <w:rPr>
          <w:rFonts w:ascii="Garamond" w:hAnsi="Garamond"/>
        </w:rPr>
        <w:t xml:space="preserve">interviewed men. </w:t>
      </w:r>
      <w:r w:rsidR="003864C6" w:rsidRPr="00B21078">
        <w:rPr>
          <w:rFonts w:ascii="Garamond" w:hAnsi="Garamond"/>
        </w:rPr>
        <w:t>Primary sampling units</w:t>
      </w:r>
      <w:r w:rsidR="00FA6046" w:rsidRPr="00B21078">
        <w:rPr>
          <w:rFonts w:ascii="Garamond" w:hAnsi="Garamond"/>
        </w:rPr>
        <w:t xml:space="preserve"> (villages in rural areas, and census circles in urban areas)</w:t>
      </w:r>
      <w:r w:rsidR="003864C6" w:rsidRPr="00B21078">
        <w:rPr>
          <w:rFonts w:ascii="Garamond" w:hAnsi="Garamond"/>
        </w:rPr>
        <w:t xml:space="preserve"> </w:t>
      </w:r>
      <w:r w:rsidR="00777BF4" w:rsidRPr="00B21078">
        <w:rPr>
          <w:rFonts w:ascii="Garamond" w:hAnsi="Garamond"/>
        </w:rPr>
        <w:t xml:space="preserve">were </w:t>
      </w:r>
      <w:r w:rsidR="00D12C0F" w:rsidRPr="00B21078">
        <w:rPr>
          <w:rFonts w:ascii="Garamond" w:hAnsi="Garamond"/>
        </w:rPr>
        <w:t xml:space="preserve">randomly selected on the basis of census data. </w:t>
      </w:r>
      <w:r w:rsidR="00970340" w:rsidRPr="00B21078">
        <w:rPr>
          <w:rFonts w:ascii="Garamond" w:hAnsi="Garamond"/>
        </w:rPr>
        <w:t xml:space="preserve">Within </w:t>
      </w:r>
      <w:r w:rsidR="00970340" w:rsidRPr="00B21078">
        <w:rPr>
          <w:rFonts w:ascii="Garamond" w:hAnsi="Garamond"/>
        </w:rPr>
        <w:lastRenderedPageBreak/>
        <w:t>each of these units</w:t>
      </w:r>
      <w:r w:rsidR="00F82A58" w:rsidRPr="00B21078">
        <w:rPr>
          <w:rFonts w:ascii="Garamond" w:hAnsi="Garamond"/>
        </w:rPr>
        <w:t xml:space="preserve">, twelve households </w:t>
      </w:r>
      <w:r w:rsidR="00EE7730" w:rsidRPr="00B21078">
        <w:rPr>
          <w:rFonts w:ascii="Garamond" w:hAnsi="Garamond"/>
        </w:rPr>
        <w:t>were</w:t>
      </w:r>
      <w:r w:rsidR="00F82A58" w:rsidRPr="00B21078">
        <w:rPr>
          <w:rFonts w:ascii="Garamond" w:hAnsi="Garamond"/>
        </w:rPr>
        <w:t xml:space="preserve"> randomly selected. Within each household, the Kish grid method</w:t>
      </w:r>
      <w:r w:rsidR="00F82A58" w:rsidRPr="00B21078">
        <w:rPr>
          <w:rFonts w:ascii="Garamond" w:hAnsi="Garamond"/>
          <w:vertAlign w:val="superscript"/>
        </w:rPr>
        <w:footnoteReference w:id="7"/>
      </w:r>
      <w:r w:rsidR="00F22D97" w:rsidRPr="00B21078">
        <w:rPr>
          <w:rFonts w:ascii="Garamond" w:hAnsi="Garamond"/>
        </w:rPr>
        <w:t xml:space="preserve"> was</w:t>
      </w:r>
      <w:r w:rsidR="00F82A58" w:rsidRPr="00B21078">
        <w:rPr>
          <w:rFonts w:ascii="Garamond" w:hAnsi="Garamond"/>
        </w:rPr>
        <w:t xml:space="preserve"> used to identify individuals above the age of 18 to interview</w:t>
      </w:r>
      <w:r w:rsidR="00777BF4" w:rsidRPr="00B21078">
        <w:rPr>
          <w:rFonts w:ascii="Garamond" w:hAnsi="Garamond"/>
        </w:rPr>
        <w:t>.</w:t>
      </w:r>
      <w:r w:rsidR="00E854F9" w:rsidRPr="00B21078">
        <w:rPr>
          <w:rStyle w:val="FootnoteReference"/>
          <w:rFonts w:ascii="Garamond" w:hAnsi="Garamond"/>
        </w:rPr>
        <w:footnoteReference w:id="8"/>
      </w:r>
    </w:p>
    <w:p w14:paraId="543EDF4A" w14:textId="40FC283F" w:rsidR="00DE5BC7" w:rsidRDefault="00E854F9" w:rsidP="0009296A">
      <w:pPr>
        <w:spacing w:line="480" w:lineRule="auto"/>
        <w:ind w:firstLine="720"/>
        <w:rPr>
          <w:rFonts w:ascii="Garamond" w:hAnsi="Garamond"/>
        </w:rPr>
      </w:pPr>
      <w:r w:rsidRPr="00B21078">
        <w:rPr>
          <w:rFonts w:ascii="Garamond" w:hAnsi="Garamond"/>
        </w:rPr>
        <w:t xml:space="preserve"> </w:t>
      </w:r>
      <w:r w:rsidR="00D071A6" w:rsidRPr="00B21078">
        <w:rPr>
          <w:rFonts w:ascii="Garamond" w:hAnsi="Garamond"/>
        </w:rPr>
        <w:t xml:space="preserve">The </w:t>
      </w:r>
      <w:r w:rsidR="00D87D72" w:rsidRPr="00B21078">
        <w:rPr>
          <w:rFonts w:ascii="Garamond" w:hAnsi="Garamond"/>
        </w:rPr>
        <w:t>survey was restricted to a representative sample of Punjab, which is the country’</w:t>
      </w:r>
      <w:r w:rsidR="008144E6" w:rsidRPr="00B21078">
        <w:rPr>
          <w:rFonts w:ascii="Garamond" w:hAnsi="Garamond"/>
        </w:rPr>
        <w:t>s most populous</w:t>
      </w:r>
      <w:r w:rsidR="00D87D72" w:rsidRPr="00B21078">
        <w:rPr>
          <w:rFonts w:ascii="Garamond" w:hAnsi="Garamond"/>
        </w:rPr>
        <w:t xml:space="preserve"> and politically important province. </w:t>
      </w:r>
      <w:r w:rsidR="003F2FBC">
        <w:rPr>
          <w:rFonts w:ascii="Garamond" w:hAnsi="Garamond"/>
        </w:rPr>
        <w:t xml:space="preserve">Punjab’s population of 110 million is more than twice that of the next most populous province. </w:t>
      </w:r>
      <w:r w:rsidR="00393CFD">
        <w:rPr>
          <w:rFonts w:ascii="Garamond" w:hAnsi="Garamond"/>
        </w:rPr>
        <w:t>B</w:t>
      </w:r>
      <w:r w:rsidR="00277352">
        <w:rPr>
          <w:rFonts w:ascii="Garamond" w:hAnsi="Garamond"/>
        </w:rPr>
        <w:t xml:space="preserve">ecause Punjab is also the </w:t>
      </w:r>
      <w:r w:rsidR="00605386">
        <w:rPr>
          <w:rFonts w:ascii="Garamond" w:hAnsi="Garamond"/>
        </w:rPr>
        <w:t xml:space="preserve">traditional </w:t>
      </w:r>
      <w:r w:rsidR="00277352">
        <w:rPr>
          <w:rFonts w:ascii="Garamond" w:hAnsi="Garamond"/>
        </w:rPr>
        <w:t xml:space="preserve">heartland of the Army </w:t>
      </w:r>
      <w:r w:rsidR="00E16D5A">
        <w:rPr>
          <w:rFonts w:ascii="Garamond" w:hAnsi="Garamond"/>
        </w:rPr>
        <w:t>(</w:t>
      </w:r>
      <w:r w:rsidR="00605386">
        <w:rPr>
          <w:rFonts w:ascii="Garamond" w:hAnsi="Garamond"/>
        </w:rPr>
        <w:t>Fair and Nawaz 2011; Staniland, Naseemullah, and Butt 2018</w:t>
      </w:r>
      <w:r w:rsidR="00E16D5A">
        <w:rPr>
          <w:rFonts w:ascii="Garamond" w:hAnsi="Garamond"/>
        </w:rPr>
        <w:t xml:space="preserve">) </w:t>
      </w:r>
      <w:r w:rsidR="00277352">
        <w:rPr>
          <w:rFonts w:ascii="Garamond" w:hAnsi="Garamond"/>
        </w:rPr>
        <w:t>and, by some accounts, the most nationalistic of the provinces</w:t>
      </w:r>
      <w:r w:rsidR="006D3187">
        <w:rPr>
          <w:rFonts w:ascii="Garamond" w:hAnsi="Garamond"/>
        </w:rPr>
        <w:t xml:space="preserve"> (</w:t>
      </w:r>
      <w:r w:rsidR="00BA2C46">
        <w:rPr>
          <w:rFonts w:ascii="Garamond" w:hAnsi="Garamond"/>
        </w:rPr>
        <w:t>Afzal 2018, 92)</w:t>
      </w:r>
      <w:r w:rsidR="00277352">
        <w:rPr>
          <w:rFonts w:ascii="Garamond" w:hAnsi="Garamond"/>
        </w:rPr>
        <w:t>, we caution ag</w:t>
      </w:r>
      <w:r w:rsidR="0079098B">
        <w:rPr>
          <w:rFonts w:ascii="Garamond" w:hAnsi="Garamond"/>
        </w:rPr>
        <w:t xml:space="preserve">ainst extrapolating the results </w:t>
      </w:r>
      <w:r w:rsidR="005E02F1">
        <w:rPr>
          <w:rFonts w:ascii="Garamond" w:hAnsi="Garamond"/>
        </w:rPr>
        <w:t>to the rest of the country</w:t>
      </w:r>
      <w:r w:rsidR="0079098B">
        <w:rPr>
          <w:rFonts w:ascii="Garamond" w:hAnsi="Garamond"/>
        </w:rPr>
        <w:t xml:space="preserve"> without further research</w:t>
      </w:r>
      <w:r w:rsidR="00393CFD">
        <w:rPr>
          <w:rFonts w:ascii="Garamond" w:hAnsi="Garamond"/>
        </w:rPr>
        <w:t>. Nonetheless, b</w:t>
      </w:r>
      <w:r w:rsidR="008144E6" w:rsidRPr="00B21078">
        <w:rPr>
          <w:rFonts w:ascii="Garamond" w:hAnsi="Garamond"/>
        </w:rPr>
        <w:t xml:space="preserve">ecause </w:t>
      </w:r>
      <w:r w:rsidR="00223F82">
        <w:rPr>
          <w:rFonts w:ascii="Garamond" w:hAnsi="Garamond"/>
        </w:rPr>
        <w:t>Punjab</w:t>
      </w:r>
      <w:r w:rsidR="008144E6" w:rsidRPr="00B21078">
        <w:rPr>
          <w:rFonts w:ascii="Garamond" w:hAnsi="Garamond"/>
        </w:rPr>
        <w:t xml:space="preserve"> contains 54% of the seats in the </w:t>
      </w:r>
      <w:r w:rsidR="006633C5">
        <w:rPr>
          <w:rFonts w:ascii="Garamond" w:hAnsi="Garamond"/>
        </w:rPr>
        <w:t>N</w:t>
      </w:r>
      <w:r w:rsidR="006633C5" w:rsidRPr="00B21078">
        <w:rPr>
          <w:rFonts w:ascii="Garamond" w:hAnsi="Garamond"/>
        </w:rPr>
        <w:t xml:space="preserve">ational </w:t>
      </w:r>
      <w:r w:rsidR="006633C5">
        <w:rPr>
          <w:rFonts w:ascii="Garamond" w:hAnsi="Garamond"/>
        </w:rPr>
        <w:t>A</w:t>
      </w:r>
      <w:r w:rsidR="006633C5" w:rsidRPr="00B21078">
        <w:rPr>
          <w:rFonts w:ascii="Garamond" w:hAnsi="Garamond"/>
        </w:rPr>
        <w:t>ssembly</w:t>
      </w:r>
      <w:r w:rsidR="008144E6" w:rsidRPr="00B21078">
        <w:rPr>
          <w:rFonts w:ascii="Garamond" w:hAnsi="Garamond"/>
        </w:rPr>
        <w:t xml:space="preserve">, </w:t>
      </w:r>
      <w:r w:rsidR="00C837FE">
        <w:rPr>
          <w:rFonts w:ascii="Garamond" w:hAnsi="Garamond"/>
        </w:rPr>
        <w:t>it</w:t>
      </w:r>
      <w:r w:rsidR="00C837FE" w:rsidRPr="00B21078">
        <w:rPr>
          <w:rFonts w:ascii="Garamond" w:hAnsi="Garamond"/>
        </w:rPr>
        <w:t xml:space="preserve"> </w:t>
      </w:r>
      <w:r w:rsidR="008144E6" w:rsidRPr="00B21078">
        <w:rPr>
          <w:rFonts w:ascii="Garamond" w:hAnsi="Garamond"/>
        </w:rPr>
        <w:t xml:space="preserve">determines which political party secures a </w:t>
      </w:r>
      <w:r w:rsidR="00694FCD" w:rsidRPr="00B21078">
        <w:rPr>
          <w:rFonts w:ascii="Garamond" w:hAnsi="Garamond"/>
        </w:rPr>
        <w:t xml:space="preserve">national </w:t>
      </w:r>
      <w:r w:rsidR="008144E6" w:rsidRPr="00B21078">
        <w:rPr>
          <w:rFonts w:ascii="Garamond" w:hAnsi="Garamond"/>
        </w:rPr>
        <w:t xml:space="preserve">legislative majority. </w:t>
      </w:r>
      <w:r w:rsidR="002B4A0D" w:rsidRPr="00B21078">
        <w:rPr>
          <w:rFonts w:ascii="Garamond" w:hAnsi="Garamond"/>
        </w:rPr>
        <w:t>Punjab’s “military, administrative, economic and demographic predominance”</w:t>
      </w:r>
      <w:r w:rsidR="00DE5BC7">
        <w:rPr>
          <w:rFonts w:ascii="Garamond" w:hAnsi="Garamond"/>
        </w:rPr>
        <w:t xml:space="preserve"> (</w:t>
      </w:r>
      <w:r w:rsidR="00DE5BC7" w:rsidRPr="0057038A">
        <w:rPr>
          <w:rFonts w:ascii="Garamond" w:hAnsi="Garamond"/>
        </w:rPr>
        <w:t>Talbot 2002, 59</w:t>
      </w:r>
      <w:r w:rsidR="00DE5BC7">
        <w:rPr>
          <w:rFonts w:ascii="Garamond" w:hAnsi="Garamond"/>
        </w:rPr>
        <w:t>)</w:t>
      </w:r>
      <w:r w:rsidR="002B4A0D" w:rsidRPr="00B21078">
        <w:rPr>
          <w:rFonts w:ascii="Garamond" w:hAnsi="Garamond"/>
        </w:rPr>
        <w:t xml:space="preserve"> </w:t>
      </w:r>
      <w:r w:rsidR="00BF488B">
        <w:rPr>
          <w:rFonts w:ascii="Garamond" w:hAnsi="Garamond"/>
        </w:rPr>
        <w:t xml:space="preserve">therefore </w:t>
      </w:r>
      <w:r w:rsidR="002B4A0D" w:rsidRPr="00B21078">
        <w:rPr>
          <w:rFonts w:ascii="Garamond" w:hAnsi="Garamond"/>
        </w:rPr>
        <w:t xml:space="preserve">means that it is an important </w:t>
      </w:r>
      <w:r w:rsidR="00623E12" w:rsidRPr="00B21078">
        <w:rPr>
          <w:rFonts w:ascii="Garamond" w:hAnsi="Garamond"/>
        </w:rPr>
        <w:t xml:space="preserve">region to study in its own right, </w:t>
      </w:r>
      <w:r w:rsidR="00623EEC">
        <w:rPr>
          <w:rFonts w:ascii="Garamond" w:hAnsi="Garamond"/>
        </w:rPr>
        <w:t>and</w:t>
      </w:r>
      <w:r w:rsidR="00623E12" w:rsidRPr="00B21078">
        <w:rPr>
          <w:rFonts w:ascii="Garamond" w:hAnsi="Garamond"/>
        </w:rPr>
        <w:t xml:space="preserve"> also that </w:t>
      </w:r>
      <w:r w:rsidR="003A0317" w:rsidRPr="00B21078">
        <w:rPr>
          <w:rFonts w:ascii="Garamond" w:hAnsi="Garamond"/>
        </w:rPr>
        <w:t xml:space="preserve">voting behavior </w:t>
      </w:r>
      <w:r w:rsidR="00940E78">
        <w:rPr>
          <w:rFonts w:ascii="Garamond" w:hAnsi="Garamond"/>
        </w:rPr>
        <w:t>t</w:t>
      </w:r>
      <w:r w:rsidR="003A0317" w:rsidRPr="00B21078">
        <w:rPr>
          <w:rFonts w:ascii="Garamond" w:hAnsi="Garamond"/>
        </w:rPr>
        <w:t xml:space="preserve">here </w:t>
      </w:r>
      <w:r w:rsidR="003F2FBC">
        <w:rPr>
          <w:rFonts w:ascii="Garamond" w:hAnsi="Garamond"/>
        </w:rPr>
        <w:t xml:space="preserve">shapes </w:t>
      </w:r>
      <w:r w:rsidR="000C76A0">
        <w:rPr>
          <w:rFonts w:ascii="Garamond" w:hAnsi="Garamond"/>
        </w:rPr>
        <w:t>political</w:t>
      </w:r>
      <w:r w:rsidR="003A0317" w:rsidRPr="00B21078">
        <w:rPr>
          <w:rFonts w:ascii="Garamond" w:hAnsi="Garamond"/>
        </w:rPr>
        <w:t xml:space="preserve"> part</w:t>
      </w:r>
      <w:r w:rsidR="003F2FBC">
        <w:rPr>
          <w:rFonts w:ascii="Garamond" w:hAnsi="Garamond"/>
        </w:rPr>
        <w:t>y behavior</w:t>
      </w:r>
      <w:r w:rsidR="004B3C2A" w:rsidRPr="00B21078">
        <w:rPr>
          <w:rFonts w:ascii="Garamond" w:hAnsi="Garamond"/>
        </w:rPr>
        <w:t xml:space="preserve"> </w:t>
      </w:r>
      <w:r w:rsidR="00436205" w:rsidRPr="00B21078">
        <w:rPr>
          <w:rFonts w:ascii="Garamond" w:hAnsi="Garamond"/>
        </w:rPr>
        <w:t xml:space="preserve">at the national level. </w:t>
      </w:r>
      <w:r w:rsidR="00304908" w:rsidRPr="00B21078">
        <w:rPr>
          <w:rFonts w:ascii="Garamond" w:hAnsi="Garamond"/>
        </w:rPr>
        <w:t xml:space="preserve">Table I </w:t>
      </w:r>
      <w:r w:rsidR="000D2DDF" w:rsidRPr="00B21078">
        <w:rPr>
          <w:rFonts w:ascii="Garamond" w:hAnsi="Garamond"/>
        </w:rPr>
        <w:t xml:space="preserve">provides some descriptive statistics of the sample to provide </w:t>
      </w:r>
      <w:r w:rsidR="00436205" w:rsidRPr="00B21078">
        <w:rPr>
          <w:rFonts w:ascii="Garamond" w:hAnsi="Garamond"/>
        </w:rPr>
        <w:t>demographic detail of the respondents.</w:t>
      </w:r>
    </w:p>
    <w:p w14:paraId="708C6C61" w14:textId="77777777" w:rsidR="00AB545C" w:rsidRDefault="00AB545C" w:rsidP="0057793E">
      <w:pPr>
        <w:spacing w:line="480" w:lineRule="auto"/>
        <w:ind w:firstLine="720"/>
        <w:rPr>
          <w:rFonts w:ascii="Garamond" w:hAnsi="Garamond"/>
        </w:rPr>
      </w:pPr>
    </w:p>
    <w:p w14:paraId="1877AD3E" w14:textId="77777777" w:rsidR="007A5EB9" w:rsidRDefault="007A5EB9" w:rsidP="0057793E">
      <w:pPr>
        <w:spacing w:line="480" w:lineRule="auto"/>
        <w:ind w:firstLine="720"/>
        <w:rPr>
          <w:rFonts w:ascii="Garamond" w:hAnsi="Garamond"/>
        </w:rPr>
      </w:pPr>
    </w:p>
    <w:p w14:paraId="423DD979" w14:textId="77777777" w:rsidR="007A5EB9" w:rsidRDefault="007A5EB9" w:rsidP="0057793E">
      <w:pPr>
        <w:spacing w:line="480" w:lineRule="auto"/>
        <w:ind w:firstLine="720"/>
        <w:rPr>
          <w:rFonts w:ascii="Garamond" w:hAnsi="Garamond"/>
        </w:rPr>
      </w:pPr>
    </w:p>
    <w:p w14:paraId="20310245" w14:textId="77777777" w:rsidR="007A5EB9" w:rsidRPr="00B21078" w:rsidRDefault="007A5EB9" w:rsidP="0057793E">
      <w:pPr>
        <w:spacing w:line="480" w:lineRule="auto"/>
        <w:ind w:firstLine="720"/>
        <w:rPr>
          <w:rFonts w:ascii="Garamond" w:hAnsi="Garamond"/>
        </w:rPr>
      </w:pPr>
    </w:p>
    <w:tbl>
      <w:tblPr>
        <w:tblStyle w:val="TableGrid"/>
        <w:tblW w:w="0" w:type="auto"/>
        <w:jc w:val="center"/>
        <w:tblLook w:val="04A0" w:firstRow="1" w:lastRow="0" w:firstColumn="1" w:lastColumn="0" w:noHBand="0" w:noVBand="1"/>
      </w:tblPr>
      <w:tblGrid>
        <w:gridCol w:w="2986"/>
        <w:gridCol w:w="3597"/>
      </w:tblGrid>
      <w:tr w:rsidR="0069633A" w:rsidRPr="00B21078" w14:paraId="555186DC" w14:textId="77777777" w:rsidTr="00F36CCB">
        <w:trPr>
          <w:trHeight w:val="256"/>
          <w:jc w:val="center"/>
        </w:trPr>
        <w:tc>
          <w:tcPr>
            <w:tcW w:w="6583" w:type="dxa"/>
            <w:gridSpan w:val="2"/>
            <w:shd w:val="clear" w:color="auto" w:fill="B3B3B3"/>
          </w:tcPr>
          <w:p w14:paraId="11751FCC" w14:textId="63BAFB8B" w:rsidR="0069633A" w:rsidRPr="00B21078" w:rsidRDefault="0069633A" w:rsidP="00AB545C">
            <w:pPr>
              <w:jc w:val="center"/>
              <w:rPr>
                <w:rFonts w:ascii="Garamond" w:hAnsi="Garamond"/>
                <w:b/>
              </w:rPr>
            </w:pPr>
            <w:r w:rsidRPr="00B21078">
              <w:rPr>
                <w:rFonts w:ascii="Garamond" w:hAnsi="Garamond"/>
                <w:b/>
              </w:rPr>
              <w:lastRenderedPageBreak/>
              <w:t>Table I</w:t>
            </w:r>
            <w:r w:rsidR="0001471E">
              <w:rPr>
                <w:rFonts w:ascii="Garamond" w:hAnsi="Garamond"/>
                <w:b/>
              </w:rPr>
              <w:t>:</w:t>
            </w:r>
            <w:r w:rsidRPr="00B21078">
              <w:rPr>
                <w:rFonts w:ascii="Garamond" w:hAnsi="Garamond"/>
                <w:b/>
              </w:rPr>
              <w:t xml:space="preserve"> Descriptive Statistics</w:t>
            </w:r>
          </w:p>
        </w:tc>
      </w:tr>
      <w:tr w:rsidR="0069633A" w:rsidRPr="00B21078" w14:paraId="24EC6CE6" w14:textId="77777777" w:rsidTr="00F36CCB">
        <w:trPr>
          <w:trHeight w:val="792"/>
          <w:jc w:val="center"/>
        </w:trPr>
        <w:tc>
          <w:tcPr>
            <w:tcW w:w="2986" w:type="dxa"/>
          </w:tcPr>
          <w:p w14:paraId="33AF9724" w14:textId="77777777" w:rsidR="0069633A" w:rsidRPr="00B21078" w:rsidRDefault="0069633A" w:rsidP="0009296A">
            <w:pPr>
              <w:rPr>
                <w:rFonts w:ascii="Garamond" w:hAnsi="Garamond"/>
                <w:b/>
              </w:rPr>
            </w:pPr>
            <w:r w:rsidRPr="00B21078">
              <w:rPr>
                <w:rFonts w:ascii="Garamond" w:hAnsi="Garamond"/>
                <w:b/>
              </w:rPr>
              <w:t>Ethnicity</w:t>
            </w:r>
          </w:p>
        </w:tc>
        <w:tc>
          <w:tcPr>
            <w:tcW w:w="3597" w:type="dxa"/>
          </w:tcPr>
          <w:p w14:paraId="72460529" w14:textId="77777777" w:rsidR="0069633A" w:rsidRPr="00B21078" w:rsidRDefault="0069633A" w:rsidP="0009296A">
            <w:pPr>
              <w:rPr>
                <w:rFonts w:ascii="Garamond" w:hAnsi="Garamond"/>
              </w:rPr>
            </w:pPr>
            <w:r w:rsidRPr="00B21078">
              <w:rPr>
                <w:rFonts w:ascii="Garamond" w:hAnsi="Garamond"/>
              </w:rPr>
              <w:t>Punjabi: 74.6%</w:t>
            </w:r>
          </w:p>
          <w:p w14:paraId="0340E1DF" w14:textId="77777777" w:rsidR="0069633A" w:rsidRPr="00B21078" w:rsidRDefault="0069633A" w:rsidP="0009296A">
            <w:pPr>
              <w:rPr>
                <w:rFonts w:ascii="Garamond" w:hAnsi="Garamond"/>
              </w:rPr>
            </w:pPr>
            <w:r w:rsidRPr="00B21078">
              <w:rPr>
                <w:rFonts w:ascii="Garamond" w:hAnsi="Garamond"/>
              </w:rPr>
              <w:t>Saraiki: 16.1%</w:t>
            </w:r>
          </w:p>
          <w:p w14:paraId="6B25D1BF" w14:textId="77777777" w:rsidR="0069633A" w:rsidRPr="00B21078" w:rsidRDefault="0069633A" w:rsidP="0009296A">
            <w:pPr>
              <w:rPr>
                <w:rFonts w:ascii="Garamond" w:hAnsi="Garamond"/>
              </w:rPr>
            </w:pPr>
            <w:r w:rsidRPr="00B21078">
              <w:rPr>
                <w:rFonts w:ascii="Garamond" w:hAnsi="Garamond"/>
              </w:rPr>
              <w:t>Urdu-speaking: 6.3%</w:t>
            </w:r>
          </w:p>
        </w:tc>
      </w:tr>
      <w:tr w:rsidR="0069633A" w:rsidRPr="00B21078" w14:paraId="7C707857" w14:textId="77777777" w:rsidTr="00F36CCB">
        <w:trPr>
          <w:trHeight w:val="523"/>
          <w:jc w:val="center"/>
        </w:trPr>
        <w:tc>
          <w:tcPr>
            <w:tcW w:w="2986" w:type="dxa"/>
          </w:tcPr>
          <w:p w14:paraId="1D1A7C50" w14:textId="77777777" w:rsidR="0069633A" w:rsidRPr="00B21078" w:rsidRDefault="0069633A" w:rsidP="0009296A">
            <w:pPr>
              <w:rPr>
                <w:rFonts w:ascii="Garamond" w:hAnsi="Garamond"/>
                <w:b/>
              </w:rPr>
            </w:pPr>
            <w:r w:rsidRPr="00B21078">
              <w:rPr>
                <w:rFonts w:ascii="Garamond" w:hAnsi="Garamond"/>
                <w:b/>
              </w:rPr>
              <w:t>Gender</w:t>
            </w:r>
          </w:p>
        </w:tc>
        <w:tc>
          <w:tcPr>
            <w:tcW w:w="3597" w:type="dxa"/>
          </w:tcPr>
          <w:p w14:paraId="1C1FCADA" w14:textId="77777777" w:rsidR="0069633A" w:rsidRPr="00B21078" w:rsidRDefault="0069633A" w:rsidP="0009296A">
            <w:pPr>
              <w:rPr>
                <w:rFonts w:ascii="Garamond" w:hAnsi="Garamond"/>
              </w:rPr>
            </w:pPr>
            <w:r w:rsidRPr="00B21078">
              <w:rPr>
                <w:rFonts w:ascii="Garamond" w:hAnsi="Garamond"/>
              </w:rPr>
              <w:t>Female: 49.7%</w:t>
            </w:r>
          </w:p>
          <w:p w14:paraId="0AB5D31B" w14:textId="77777777" w:rsidR="0069633A" w:rsidRPr="00B21078" w:rsidRDefault="0069633A" w:rsidP="0009296A">
            <w:pPr>
              <w:rPr>
                <w:rFonts w:ascii="Garamond" w:hAnsi="Garamond"/>
              </w:rPr>
            </w:pPr>
            <w:r w:rsidRPr="00B21078">
              <w:rPr>
                <w:rFonts w:ascii="Garamond" w:hAnsi="Garamond"/>
              </w:rPr>
              <w:t>Male: 50.3%</w:t>
            </w:r>
          </w:p>
        </w:tc>
      </w:tr>
      <w:tr w:rsidR="0069633A" w:rsidRPr="00B21078" w14:paraId="6290701E" w14:textId="77777777" w:rsidTr="00F36CCB">
        <w:trPr>
          <w:trHeight w:val="523"/>
          <w:jc w:val="center"/>
        </w:trPr>
        <w:tc>
          <w:tcPr>
            <w:tcW w:w="2986" w:type="dxa"/>
          </w:tcPr>
          <w:p w14:paraId="01C59107" w14:textId="77777777" w:rsidR="0069633A" w:rsidRPr="00B21078" w:rsidRDefault="0069633A" w:rsidP="0009296A">
            <w:pPr>
              <w:rPr>
                <w:rFonts w:ascii="Garamond" w:hAnsi="Garamond"/>
                <w:b/>
              </w:rPr>
            </w:pPr>
            <w:r w:rsidRPr="00B21078">
              <w:rPr>
                <w:rFonts w:ascii="Garamond" w:hAnsi="Garamond"/>
                <w:b/>
              </w:rPr>
              <w:t>Locality</w:t>
            </w:r>
          </w:p>
        </w:tc>
        <w:tc>
          <w:tcPr>
            <w:tcW w:w="3597" w:type="dxa"/>
          </w:tcPr>
          <w:p w14:paraId="135970EB" w14:textId="77777777" w:rsidR="0069633A" w:rsidRPr="00B21078" w:rsidRDefault="0069633A" w:rsidP="0009296A">
            <w:pPr>
              <w:rPr>
                <w:rFonts w:ascii="Garamond" w:hAnsi="Garamond"/>
              </w:rPr>
            </w:pPr>
            <w:r w:rsidRPr="00B21078">
              <w:rPr>
                <w:rFonts w:ascii="Garamond" w:hAnsi="Garamond"/>
              </w:rPr>
              <w:t>Urban: 32.3%</w:t>
            </w:r>
          </w:p>
          <w:p w14:paraId="694DA3C3" w14:textId="77777777" w:rsidR="0069633A" w:rsidRPr="00B21078" w:rsidRDefault="0069633A" w:rsidP="0009296A">
            <w:pPr>
              <w:rPr>
                <w:rFonts w:ascii="Garamond" w:hAnsi="Garamond"/>
              </w:rPr>
            </w:pPr>
            <w:r w:rsidRPr="00B21078">
              <w:rPr>
                <w:rFonts w:ascii="Garamond" w:hAnsi="Garamond"/>
              </w:rPr>
              <w:t>Rural: 67.7%</w:t>
            </w:r>
          </w:p>
        </w:tc>
      </w:tr>
      <w:tr w:rsidR="0069633A" w:rsidRPr="00B21078" w14:paraId="6A3C0618" w14:textId="77777777" w:rsidTr="00F36CCB">
        <w:trPr>
          <w:trHeight w:val="1045"/>
          <w:jc w:val="center"/>
        </w:trPr>
        <w:tc>
          <w:tcPr>
            <w:tcW w:w="2986" w:type="dxa"/>
          </w:tcPr>
          <w:p w14:paraId="5A2A078A" w14:textId="77777777" w:rsidR="0069633A" w:rsidRPr="00A51CA1" w:rsidRDefault="0069633A" w:rsidP="0009296A">
            <w:pPr>
              <w:rPr>
                <w:rFonts w:ascii="Garamond" w:hAnsi="Garamond"/>
              </w:rPr>
            </w:pPr>
            <w:r w:rsidRPr="00B21078">
              <w:rPr>
                <w:rFonts w:ascii="Garamond" w:hAnsi="Garamond"/>
                <w:b/>
              </w:rPr>
              <w:t>Which party did you vote for in 2013?</w:t>
            </w:r>
            <w:r>
              <w:rPr>
                <w:rFonts w:ascii="Garamond" w:hAnsi="Garamond"/>
                <w:b/>
              </w:rPr>
              <w:t xml:space="preserve"> </w:t>
            </w:r>
            <w:r>
              <w:rPr>
                <w:rFonts w:ascii="Garamond" w:hAnsi="Garamond"/>
              </w:rPr>
              <w:t>(among self-reported voters)</w:t>
            </w:r>
          </w:p>
        </w:tc>
        <w:tc>
          <w:tcPr>
            <w:tcW w:w="3597" w:type="dxa"/>
          </w:tcPr>
          <w:p w14:paraId="19700E67" w14:textId="77777777" w:rsidR="0069633A" w:rsidRPr="00B21078" w:rsidRDefault="0069633A" w:rsidP="0009296A">
            <w:pPr>
              <w:rPr>
                <w:rFonts w:ascii="Garamond" w:hAnsi="Garamond"/>
              </w:rPr>
            </w:pPr>
            <w:r w:rsidRPr="00B21078">
              <w:rPr>
                <w:rFonts w:ascii="Garamond" w:hAnsi="Garamond"/>
              </w:rPr>
              <w:t>PML-N: 66%</w:t>
            </w:r>
          </w:p>
          <w:p w14:paraId="7AE55404" w14:textId="77777777" w:rsidR="0069633A" w:rsidRPr="00B21078" w:rsidRDefault="0069633A" w:rsidP="0009296A">
            <w:pPr>
              <w:rPr>
                <w:rFonts w:ascii="Garamond" w:hAnsi="Garamond"/>
              </w:rPr>
            </w:pPr>
            <w:r w:rsidRPr="00B21078">
              <w:rPr>
                <w:rFonts w:ascii="Garamond" w:hAnsi="Garamond"/>
              </w:rPr>
              <w:t>PTI: 17.9%</w:t>
            </w:r>
          </w:p>
          <w:p w14:paraId="4AD50C0C" w14:textId="77777777" w:rsidR="0069633A" w:rsidRPr="00B21078" w:rsidRDefault="0069633A" w:rsidP="0009296A">
            <w:pPr>
              <w:rPr>
                <w:rFonts w:ascii="Garamond" w:hAnsi="Garamond"/>
              </w:rPr>
            </w:pPr>
            <w:r w:rsidRPr="00B21078">
              <w:rPr>
                <w:rFonts w:ascii="Garamond" w:hAnsi="Garamond"/>
              </w:rPr>
              <w:t>PPP: 10.36%</w:t>
            </w:r>
          </w:p>
        </w:tc>
      </w:tr>
      <w:tr w:rsidR="0069633A" w:rsidRPr="00B21078" w14:paraId="6EF7095A" w14:textId="77777777" w:rsidTr="00F36CCB">
        <w:trPr>
          <w:trHeight w:val="1314"/>
          <w:jc w:val="center"/>
        </w:trPr>
        <w:tc>
          <w:tcPr>
            <w:tcW w:w="2986" w:type="dxa"/>
          </w:tcPr>
          <w:p w14:paraId="1BC2A97A" w14:textId="77777777" w:rsidR="0069633A" w:rsidRPr="00B21078" w:rsidRDefault="0069633A" w:rsidP="0009296A">
            <w:pPr>
              <w:rPr>
                <w:rFonts w:ascii="Garamond" w:hAnsi="Garamond"/>
                <w:b/>
              </w:rPr>
            </w:pPr>
            <w:r w:rsidRPr="00B21078">
              <w:rPr>
                <w:rFonts w:ascii="Garamond" w:hAnsi="Garamond"/>
                <w:b/>
              </w:rPr>
              <w:t>Attitudes toward India</w:t>
            </w:r>
          </w:p>
        </w:tc>
        <w:tc>
          <w:tcPr>
            <w:tcW w:w="3597" w:type="dxa"/>
          </w:tcPr>
          <w:p w14:paraId="15EC703C" w14:textId="14537D66" w:rsidR="0069633A" w:rsidRPr="00B21078" w:rsidRDefault="0069633A" w:rsidP="0009296A">
            <w:pPr>
              <w:rPr>
                <w:rFonts w:ascii="Garamond" w:hAnsi="Garamond"/>
              </w:rPr>
            </w:pPr>
            <w:r w:rsidRPr="00B21078">
              <w:rPr>
                <w:rFonts w:ascii="Garamond" w:hAnsi="Garamond"/>
              </w:rPr>
              <w:t>Treat India as a friend: 3</w:t>
            </w:r>
            <w:r w:rsidR="00BE2C67">
              <w:rPr>
                <w:rFonts w:ascii="Garamond" w:hAnsi="Garamond"/>
              </w:rPr>
              <w:t>0</w:t>
            </w:r>
            <w:r>
              <w:rPr>
                <w:rFonts w:ascii="Garamond" w:hAnsi="Garamond"/>
              </w:rPr>
              <w:t>.</w:t>
            </w:r>
            <w:r w:rsidR="00BE2C67">
              <w:rPr>
                <w:rFonts w:ascii="Garamond" w:hAnsi="Garamond"/>
              </w:rPr>
              <w:t>6</w:t>
            </w:r>
            <w:r w:rsidRPr="00B21078">
              <w:rPr>
                <w:rFonts w:ascii="Garamond" w:hAnsi="Garamond"/>
              </w:rPr>
              <w:t>%</w:t>
            </w:r>
          </w:p>
          <w:p w14:paraId="2A9A6924" w14:textId="7ABFFF16" w:rsidR="0069633A" w:rsidRPr="00B21078" w:rsidRDefault="0069633A" w:rsidP="0009296A">
            <w:pPr>
              <w:rPr>
                <w:rFonts w:ascii="Garamond" w:hAnsi="Garamond"/>
              </w:rPr>
            </w:pPr>
            <w:r w:rsidRPr="00B21078">
              <w:rPr>
                <w:rFonts w:ascii="Garamond" w:hAnsi="Garamond"/>
              </w:rPr>
              <w:t>Treat India as an enemy: 5</w:t>
            </w:r>
            <w:r w:rsidR="00BE2C67">
              <w:rPr>
                <w:rFonts w:ascii="Garamond" w:hAnsi="Garamond"/>
              </w:rPr>
              <w:t>0</w:t>
            </w:r>
            <w:r w:rsidRPr="00B21078">
              <w:rPr>
                <w:rFonts w:ascii="Garamond" w:hAnsi="Garamond"/>
              </w:rPr>
              <w:t>.</w:t>
            </w:r>
            <w:r w:rsidR="00BE2C67">
              <w:rPr>
                <w:rFonts w:ascii="Garamond" w:hAnsi="Garamond"/>
              </w:rPr>
              <w:t>5</w:t>
            </w:r>
            <w:r w:rsidRPr="00B21078">
              <w:rPr>
                <w:rFonts w:ascii="Garamond" w:hAnsi="Garamond"/>
              </w:rPr>
              <w:t>%</w:t>
            </w:r>
          </w:p>
          <w:p w14:paraId="00C05E87" w14:textId="32A9F963" w:rsidR="0069633A" w:rsidRPr="00B21078" w:rsidRDefault="0069633A" w:rsidP="0009296A">
            <w:pPr>
              <w:rPr>
                <w:rFonts w:ascii="Garamond" w:hAnsi="Garamond"/>
              </w:rPr>
            </w:pPr>
            <w:r w:rsidRPr="00B21078">
              <w:rPr>
                <w:rFonts w:ascii="Garamond" w:hAnsi="Garamond"/>
              </w:rPr>
              <w:t>Treat India as neither a friend nor enemy: 17.</w:t>
            </w:r>
            <w:r w:rsidR="00BE2C67">
              <w:rPr>
                <w:rFonts w:ascii="Garamond" w:hAnsi="Garamond"/>
              </w:rPr>
              <w:t>4</w:t>
            </w:r>
            <w:r w:rsidRPr="00B21078">
              <w:rPr>
                <w:rFonts w:ascii="Garamond" w:hAnsi="Garamond"/>
              </w:rPr>
              <w:t>%</w:t>
            </w:r>
          </w:p>
        </w:tc>
      </w:tr>
      <w:tr w:rsidR="0069633A" w:rsidRPr="00B21078" w14:paraId="4807A86A" w14:textId="77777777" w:rsidTr="00F36CCB">
        <w:trPr>
          <w:trHeight w:val="1059"/>
          <w:jc w:val="center"/>
        </w:trPr>
        <w:tc>
          <w:tcPr>
            <w:tcW w:w="2986" w:type="dxa"/>
          </w:tcPr>
          <w:p w14:paraId="162EB743" w14:textId="77777777" w:rsidR="0069633A" w:rsidRPr="00B21078" w:rsidRDefault="0069633A" w:rsidP="00A15016">
            <w:pPr>
              <w:rPr>
                <w:rFonts w:ascii="Garamond" w:hAnsi="Garamond"/>
                <w:b/>
              </w:rPr>
            </w:pPr>
            <w:r>
              <w:rPr>
                <w:rFonts w:ascii="Garamond" w:hAnsi="Garamond"/>
                <w:b/>
              </w:rPr>
              <w:t xml:space="preserve">Satisfied </w:t>
            </w:r>
            <w:r w:rsidRPr="00B21078">
              <w:rPr>
                <w:rFonts w:ascii="Garamond" w:hAnsi="Garamond"/>
                <w:b/>
              </w:rPr>
              <w:t>with democracy</w:t>
            </w:r>
          </w:p>
        </w:tc>
        <w:tc>
          <w:tcPr>
            <w:tcW w:w="3597" w:type="dxa"/>
          </w:tcPr>
          <w:p w14:paraId="19394435" w14:textId="77777777" w:rsidR="0069633A" w:rsidRPr="00B21078" w:rsidRDefault="0069633A" w:rsidP="0009296A">
            <w:pPr>
              <w:rPr>
                <w:rFonts w:ascii="Garamond" w:hAnsi="Garamond"/>
              </w:rPr>
            </w:pPr>
            <w:r w:rsidRPr="00B21078">
              <w:rPr>
                <w:rFonts w:ascii="Garamond" w:hAnsi="Garamond"/>
              </w:rPr>
              <w:t xml:space="preserve">Very satisfied: </w:t>
            </w:r>
            <w:r>
              <w:rPr>
                <w:rFonts w:ascii="Garamond" w:hAnsi="Garamond"/>
              </w:rPr>
              <w:t>31.8</w:t>
            </w:r>
            <w:r w:rsidRPr="00B21078">
              <w:rPr>
                <w:rFonts w:ascii="Garamond" w:hAnsi="Garamond"/>
              </w:rPr>
              <w:t>%</w:t>
            </w:r>
          </w:p>
          <w:p w14:paraId="44FA67F1" w14:textId="77777777" w:rsidR="0069633A" w:rsidRPr="00B21078" w:rsidRDefault="0069633A" w:rsidP="0009296A">
            <w:pPr>
              <w:rPr>
                <w:rFonts w:ascii="Garamond" w:hAnsi="Garamond"/>
              </w:rPr>
            </w:pPr>
            <w:r w:rsidRPr="00B21078">
              <w:rPr>
                <w:rFonts w:ascii="Garamond" w:hAnsi="Garamond"/>
              </w:rPr>
              <w:t xml:space="preserve">Fairly satisfied: </w:t>
            </w:r>
            <w:r>
              <w:rPr>
                <w:rFonts w:ascii="Garamond" w:hAnsi="Garamond"/>
              </w:rPr>
              <w:t>39.7</w:t>
            </w:r>
            <w:r w:rsidRPr="00B21078">
              <w:rPr>
                <w:rFonts w:ascii="Garamond" w:hAnsi="Garamond"/>
              </w:rPr>
              <w:t>%</w:t>
            </w:r>
          </w:p>
          <w:p w14:paraId="5572555A" w14:textId="77777777" w:rsidR="0069633A" w:rsidRPr="00B21078" w:rsidRDefault="0069633A" w:rsidP="0009296A">
            <w:pPr>
              <w:rPr>
                <w:rFonts w:ascii="Garamond" w:hAnsi="Garamond"/>
              </w:rPr>
            </w:pPr>
            <w:r w:rsidRPr="00B21078">
              <w:rPr>
                <w:rFonts w:ascii="Garamond" w:hAnsi="Garamond"/>
              </w:rPr>
              <w:t>Not very satisfied: 16.</w:t>
            </w:r>
            <w:r>
              <w:rPr>
                <w:rFonts w:ascii="Garamond" w:hAnsi="Garamond"/>
              </w:rPr>
              <w:t>7</w:t>
            </w:r>
            <w:r w:rsidRPr="00B21078">
              <w:rPr>
                <w:rFonts w:ascii="Garamond" w:hAnsi="Garamond"/>
              </w:rPr>
              <w:t>%</w:t>
            </w:r>
          </w:p>
          <w:p w14:paraId="1E413E81" w14:textId="77777777" w:rsidR="0069633A" w:rsidRPr="00B21078" w:rsidRDefault="0069633A" w:rsidP="0009296A">
            <w:pPr>
              <w:rPr>
                <w:rFonts w:ascii="Garamond" w:hAnsi="Garamond"/>
              </w:rPr>
            </w:pPr>
            <w:r w:rsidRPr="00B21078">
              <w:rPr>
                <w:rFonts w:ascii="Garamond" w:hAnsi="Garamond"/>
              </w:rPr>
              <w:t>Not at all satisfied: 10.</w:t>
            </w:r>
            <w:r>
              <w:rPr>
                <w:rFonts w:ascii="Garamond" w:hAnsi="Garamond"/>
              </w:rPr>
              <w:t>6</w:t>
            </w:r>
            <w:r w:rsidRPr="00B21078">
              <w:rPr>
                <w:rFonts w:ascii="Garamond" w:hAnsi="Garamond"/>
              </w:rPr>
              <w:t xml:space="preserve">% </w:t>
            </w:r>
          </w:p>
        </w:tc>
      </w:tr>
    </w:tbl>
    <w:p w14:paraId="1A8318D2" w14:textId="337A31B9" w:rsidR="007B796D" w:rsidRPr="00B21078" w:rsidRDefault="007B796D" w:rsidP="0009296A">
      <w:pPr>
        <w:spacing w:line="480" w:lineRule="auto"/>
        <w:rPr>
          <w:rFonts w:ascii="Garamond" w:hAnsi="Garamond"/>
        </w:rPr>
      </w:pPr>
    </w:p>
    <w:p w14:paraId="05E058AA" w14:textId="7A0D5316" w:rsidR="000F7998" w:rsidRDefault="00777BF4" w:rsidP="0009296A">
      <w:pPr>
        <w:spacing w:line="480" w:lineRule="auto"/>
        <w:ind w:firstLine="720"/>
        <w:rPr>
          <w:rFonts w:ascii="Garamond" w:hAnsi="Garamond"/>
        </w:rPr>
      </w:pPr>
      <w:r w:rsidRPr="00B21078">
        <w:rPr>
          <w:rFonts w:ascii="Garamond" w:hAnsi="Garamond"/>
        </w:rPr>
        <w:t>Six versions of the</w:t>
      </w:r>
      <w:r w:rsidR="00EE7730" w:rsidRPr="00B21078">
        <w:rPr>
          <w:rFonts w:ascii="Garamond" w:hAnsi="Garamond"/>
        </w:rPr>
        <w:t xml:space="preserve"> survey were administered</w:t>
      </w:r>
      <w:r w:rsidR="001865DE">
        <w:rPr>
          <w:rFonts w:ascii="Garamond" w:hAnsi="Garamond"/>
        </w:rPr>
        <w:t xml:space="preserve"> (see </w:t>
      </w:r>
      <w:r w:rsidRPr="00B21078">
        <w:rPr>
          <w:rFonts w:ascii="Garamond" w:hAnsi="Garamond"/>
        </w:rPr>
        <w:t xml:space="preserve">Table </w:t>
      </w:r>
      <w:r w:rsidR="008423C4">
        <w:rPr>
          <w:rFonts w:ascii="Garamond" w:hAnsi="Garamond"/>
        </w:rPr>
        <w:t>II</w:t>
      </w:r>
      <w:r w:rsidR="001865DE">
        <w:rPr>
          <w:rFonts w:ascii="Garamond" w:hAnsi="Garamond"/>
        </w:rPr>
        <w:t>)</w:t>
      </w:r>
      <w:r w:rsidRPr="00B21078">
        <w:rPr>
          <w:rFonts w:ascii="Garamond" w:hAnsi="Garamond"/>
        </w:rPr>
        <w:t xml:space="preserve">. The experimental treatments sought to </w:t>
      </w:r>
      <w:r w:rsidR="00EE7730" w:rsidRPr="00B21078">
        <w:rPr>
          <w:rFonts w:ascii="Garamond" w:hAnsi="Garamond"/>
        </w:rPr>
        <w:t>estimate support for</w:t>
      </w:r>
      <w:r w:rsidRPr="00B21078">
        <w:rPr>
          <w:rFonts w:ascii="Garamond" w:hAnsi="Garamond"/>
        </w:rPr>
        <w:t xml:space="preserve"> </w:t>
      </w:r>
      <w:r w:rsidR="00251FA0">
        <w:rPr>
          <w:rFonts w:ascii="Garamond" w:hAnsi="Garamond"/>
        </w:rPr>
        <w:t>different</w:t>
      </w:r>
      <w:r w:rsidR="00251FA0" w:rsidRPr="00B21078">
        <w:rPr>
          <w:rFonts w:ascii="Garamond" w:hAnsi="Garamond"/>
        </w:rPr>
        <w:t xml:space="preserve"> </w:t>
      </w:r>
      <w:r w:rsidRPr="00B21078">
        <w:rPr>
          <w:rFonts w:ascii="Garamond" w:hAnsi="Garamond"/>
        </w:rPr>
        <w:t xml:space="preserve">de-escalation and escalation </w:t>
      </w:r>
      <w:r w:rsidR="003F2FBC">
        <w:rPr>
          <w:rFonts w:ascii="Garamond" w:hAnsi="Garamond"/>
        </w:rPr>
        <w:t>approaches</w:t>
      </w:r>
      <w:r w:rsidRPr="00B21078">
        <w:rPr>
          <w:rFonts w:ascii="Garamond" w:hAnsi="Garamond"/>
        </w:rPr>
        <w:t xml:space="preserve"> pursued by varying state leaders. </w:t>
      </w:r>
      <w:r w:rsidR="000F7998">
        <w:rPr>
          <w:rFonts w:ascii="Garamond" w:hAnsi="Garamond"/>
        </w:rPr>
        <w:t>In our experiment, w</w:t>
      </w:r>
      <w:r w:rsidR="000F7998" w:rsidRPr="00B21078">
        <w:rPr>
          <w:rFonts w:ascii="Garamond" w:hAnsi="Garamond"/>
        </w:rPr>
        <w:t>e exploit a characteristic of Pakistan’s hybrid regime: that political leaders and army leaders routinely engage in their own messaging about national policy. Thus</w:t>
      </w:r>
      <w:r w:rsidR="000F7998">
        <w:rPr>
          <w:rFonts w:ascii="Garamond" w:hAnsi="Garamond"/>
        </w:rPr>
        <w:t>,</w:t>
      </w:r>
      <w:r w:rsidR="000F7998" w:rsidRPr="00B21078">
        <w:rPr>
          <w:rFonts w:ascii="Garamond" w:hAnsi="Garamond"/>
        </w:rPr>
        <w:t xml:space="preserve"> a prime minister might make a statement about a decision without that statement necessarily implying agreement by military leaders, while military leaders might make public statements contrary to the beliefs or preferences of their nominal civilian superiors.</w:t>
      </w:r>
      <w:r w:rsidR="000F7998">
        <w:rPr>
          <w:rFonts w:ascii="Garamond" w:hAnsi="Garamond"/>
        </w:rPr>
        <w:t xml:space="preserve"> </w:t>
      </w:r>
    </w:p>
    <w:p w14:paraId="6D32CA8C" w14:textId="7221F3ED" w:rsidR="0069633A" w:rsidRPr="00B21078" w:rsidRDefault="00D518A7" w:rsidP="0009296A">
      <w:pPr>
        <w:spacing w:line="480" w:lineRule="auto"/>
        <w:ind w:firstLine="720"/>
        <w:rPr>
          <w:rFonts w:ascii="Garamond" w:hAnsi="Garamond"/>
        </w:rPr>
      </w:pPr>
      <w:r w:rsidRPr="00B21078">
        <w:rPr>
          <w:rFonts w:ascii="Garamond" w:hAnsi="Garamond"/>
        </w:rPr>
        <w:t xml:space="preserve">In </w:t>
      </w:r>
      <w:r w:rsidR="000F7998">
        <w:rPr>
          <w:rFonts w:ascii="Garamond" w:hAnsi="Garamond"/>
        </w:rPr>
        <w:t>total</w:t>
      </w:r>
      <w:r w:rsidRPr="00B21078">
        <w:rPr>
          <w:rFonts w:ascii="Garamond" w:hAnsi="Garamond"/>
        </w:rPr>
        <w:t>, the experiment aime</w:t>
      </w:r>
      <w:r w:rsidR="002F4D6F" w:rsidRPr="00B21078">
        <w:rPr>
          <w:rFonts w:ascii="Garamond" w:hAnsi="Garamond"/>
        </w:rPr>
        <w:t xml:space="preserve">d to test </w:t>
      </w:r>
      <w:r w:rsidR="0093432B" w:rsidRPr="00B21078">
        <w:rPr>
          <w:rFonts w:ascii="Garamond" w:hAnsi="Garamond"/>
        </w:rPr>
        <w:t>t</w:t>
      </w:r>
      <w:r w:rsidR="00952E27" w:rsidRPr="00B21078">
        <w:rPr>
          <w:rFonts w:ascii="Garamond" w:hAnsi="Garamond"/>
        </w:rPr>
        <w:t>hree</w:t>
      </w:r>
      <w:r w:rsidR="0093432B" w:rsidRPr="00B21078">
        <w:rPr>
          <w:rFonts w:ascii="Garamond" w:hAnsi="Garamond"/>
        </w:rPr>
        <w:t xml:space="preserve"> things: 1) </w:t>
      </w:r>
      <w:r w:rsidR="000F7998">
        <w:rPr>
          <w:rFonts w:ascii="Garamond" w:hAnsi="Garamond"/>
        </w:rPr>
        <w:t xml:space="preserve">the difference in levels of </w:t>
      </w:r>
      <w:r w:rsidR="00F22D97" w:rsidRPr="00B21078">
        <w:rPr>
          <w:rFonts w:ascii="Garamond" w:hAnsi="Garamond"/>
        </w:rPr>
        <w:t>support for</w:t>
      </w:r>
      <w:r w:rsidR="00952E27" w:rsidRPr="00B21078">
        <w:rPr>
          <w:rFonts w:ascii="Garamond" w:hAnsi="Garamond"/>
        </w:rPr>
        <w:t xml:space="preserve"> escalatory </w:t>
      </w:r>
      <w:r w:rsidR="006C7B6E">
        <w:rPr>
          <w:rFonts w:ascii="Garamond" w:hAnsi="Garamond"/>
        </w:rPr>
        <w:t>actions</w:t>
      </w:r>
      <w:r w:rsidR="006C7B6E" w:rsidRPr="00B21078">
        <w:rPr>
          <w:rFonts w:ascii="Garamond" w:hAnsi="Garamond"/>
        </w:rPr>
        <w:t xml:space="preserve"> </w:t>
      </w:r>
      <w:r w:rsidR="00952E27" w:rsidRPr="00B21078">
        <w:rPr>
          <w:rFonts w:ascii="Garamond" w:hAnsi="Garamond"/>
        </w:rPr>
        <w:t xml:space="preserve">compared to de-escalatory </w:t>
      </w:r>
      <w:r w:rsidR="006C7B6E">
        <w:rPr>
          <w:rFonts w:ascii="Garamond" w:hAnsi="Garamond"/>
        </w:rPr>
        <w:t>actions</w:t>
      </w:r>
      <w:r w:rsidR="006C7B6E" w:rsidRPr="00B21078">
        <w:rPr>
          <w:rFonts w:ascii="Garamond" w:hAnsi="Garamond"/>
        </w:rPr>
        <w:t xml:space="preserve"> </w:t>
      </w:r>
      <w:r w:rsidR="00952E27" w:rsidRPr="00B21078">
        <w:rPr>
          <w:rFonts w:ascii="Garamond" w:hAnsi="Garamond"/>
        </w:rPr>
        <w:t xml:space="preserve">in response to instigation from </w:t>
      </w:r>
      <w:r w:rsidR="00436205" w:rsidRPr="00B21078">
        <w:rPr>
          <w:rFonts w:ascii="Garamond" w:hAnsi="Garamond"/>
        </w:rPr>
        <w:t>India</w:t>
      </w:r>
      <w:r w:rsidR="00952E27" w:rsidRPr="00B21078">
        <w:rPr>
          <w:rFonts w:ascii="Garamond" w:hAnsi="Garamond"/>
        </w:rPr>
        <w:t xml:space="preserve">; 2) </w:t>
      </w:r>
      <w:r w:rsidR="00B136A6" w:rsidRPr="00B21078">
        <w:rPr>
          <w:rFonts w:ascii="Garamond" w:hAnsi="Garamond"/>
        </w:rPr>
        <w:t xml:space="preserve">whether </w:t>
      </w:r>
      <w:r w:rsidR="00952E27" w:rsidRPr="00B21078">
        <w:rPr>
          <w:rFonts w:ascii="Garamond" w:hAnsi="Garamond"/>
        </w:rPr>
        <w:t xml:space="preserve">the </w:t>
      </w:r>
      <w:r w:rsidR="00960D8C" w:rsidRPr="00B21078">
        <w:rPr>
          <w:rFonts w:ascii="Garamond" w:hAnsi="Garamond"/>
        </w:rPr>
        <w:t xml:space="preserve">support for this policy </w:t>
      </w:r>
      <w:r w:rsidR="00EE7730" w:rsidRPr="00B21078">
        <w:rPr>
          <w:rFonts w:ascii="Garamond" w:hAnsi="Garamond"/>
        </w:rPr>
        <w:t xml:space="preserve">was affected by </w:t>
      </w:r>
      <w:r w:rsidR="00F25B5E" w:rsidRPr="00B21078">
        <w:rPr>
          <w:rFonts w:ascii="Garamond" w:hAnsi="Garamond"/>
        </w:rPr>
        <w:t xml:space="preserve">the identity of the </w:t>
      </w:r>
      <w:r w:rsidR="0093432B" w:rsidRPr="00B21078">
        <w:rPr>
          <w:rFonts w:ascii="Garamond" w:hAnsi="Garamond"/>
        </w:rPr>
        <w:t>leader</w:t>
      </w:r>
      <w:r w:rsidR="00F25B5E" w:rsidRPr="00B21078">
        <w:rPr>
          <w:rFonts w:ascii="Garamond" w:hAnsi="Garamond"/>
        </w:rPr>
        <w:t xml:space="preserve"> making the decision</w:t>
      </w:r>
      <w:r w:rsidR="0093432B" w:rsidRPr="00B21078">
        <w:rPr>
          <w:rFonts w:ascii="Garamond" w:hAnsi="Garamond"/>
        </w:rPr>
        <w:t>—</w:t>
      </w:r>
      <w:r w:rsidR="00F25B5E" w:rsidRPr="00B21078">
        <w:rPr>
          <w:rFonts w:ascii="Garamond" w:hAnsi="Garamond"/>
        </w:rPr>
        <w:lastRenderedPageBreak/>
        <w:t>in particular</w:t>
      </w:r>
      <w:r w:rsidR="007A739B" w:rsidRPr="00B21078">
        <w:rPr>
          <w:rFonts w:ascii="Garamond" w:hAnsi="Garamond"/>
        </w:rPr>
        <w:t xml:space="preserve">, </w:t>
      </w:r>
      <w:r w:rsidR="00F22D97" w:rsidRPr="00B21078">
        <w:rPr>
          <w:rFonts w:ascii="Garamond" w:hAnsi="Garamond"/>
        </w:rPr>
        <w:t xml:space="preserve">whether </w:t>
      </w:r>
      <w:r w:rsidR="00EE7730" w:rsidRPr="00B21078">
        <w:rPr>
          <w:rFonts w:ascii="Garamond" w:hAnsi="Garamond"/>
        </w:rPr>
        <w:t>the</w:t>
      </w:r>
      <w:r w:rsidR="0066544F" w:rsidRPr="00B21078">
        <w:rPr>
          <w:rFonts w:ascii="Garamond" w:hAnsi="Garamond"/>
        </w:rPr>
        <w:t xml:space="preserve"> civilian prime m</w:t>
      </w:r>
      <w:r w:rsidR="0093432B" w:rsidRPr="00B21078">
        <w:rPr>
          <w:rFonts w:ascii="Garamond" w:hAnsi="Garamond"/>
        </w:rPr>
        <w:t xml:space="preserve">inister or the </w:t>
      </w:r>
      <w:r w:rsidR="0066544F" w:rsidRPr="00B21078">
        <w:rPr>
          <w:rFonts w:ascii="Garamond" w:hAnsi="Garamond"/>
        </w:rPr>
        <w:t>chief of army s</w:t>
      </w:r>
      <w:r w:rsidR="00B136A6" w:rsidRPr="00B21078">
        <w:rPr>
          <w:rFonts w:ascii="Garamond" w:hAnsi="Garamond"/>
        </w:rPr>
        <w:t>taff</w:t>
      </w:r>
      <w:r w:rsidR="008341FA" w:rsidRPr="00B21078">
        <w:rPr>
          <w:rFonts w:ascii="Garamond" w:hAnsi="Garamond"/>
        </w:rPr>
        <w:t xml:space="preserve"> </w:t>
      </w:r>
      <w:r w:rsidR="00EE7730" w:rsidRPr="00B21078">
        <w:rPr>
          <w:rFonts w:ascii="Garamond" w:hAnsi="Garamond"/>
        </w:rPr>
        <w:t>made</w:t>
      </w:r>
      <w:r w:rsidR="008341FA" w:rsidRPr="00B21078">
        <w:rPr>
          <w:rFonts w:ascii="Garamond" w:hAnsi="Garamond"/>
        </w:rPr>
        <w:t xml:space="preserve"> the decisi</w:t>
      </w:r>
      <w:r w:rsidR="000619A3" w:rsidRPr="00B21078">
        <w:rPr>
          <w:rFonts w:ascii="Garamond" w:hAnsi="Garamond"/>
        </w:rPr>
        <w:t>on</w:t>
      </w:r>
      <w:r w:rsidR="00B136A6" w:rsidRPr="00B21078">
        <w:rPr>
          <w:rFonts w:ascii="Garamond" w:hAnsi="Garamond"/>
        </w:rPr>
        <w:t>;</w:t>
      </w:r>
      <w:r w:rsidR="00E65A40">
        <w:rPr>
          <w:rStyle w:val="FootnoteReference"/>
          <w:rFonts w:ascii="Garamond" w:hAnsi="Garamond"/>
        </w:rPr>
        <w:footnoteReference w:id="9"/>
      </w:r>
      <w:r w:rsidR="007A739B" w:rsidRPr="00B21078">
        <w:rPr>
          <w:rFonts w:ascii="Garamond" w:hAnsi="Garamond"/>
        </w:rPr>
        <w:t xml:space="preserve"> and 3</w:t>
      </w:r>
      <w:r w:rsidR="0093432B" w:rsidRPr="00B21078">
        <w:rPr>
          <w:rFonts w:ascii="Garamond" w:hAnsi="Garamond"/>
        </w:rPr>
        <w:t>)</w:t>
      </w:r>
      <w:r w:rsidR="006866CA" w:rsidRPr="00B21078">
        <w:rPr>
          <w:rFonts w:ascii="Garamond" w:hAnsi="Garamond"/>
        </w:rPr>
        <w:t xml:space="preserve"> the extent to which </w:t>
      </w:r>
      <w:r w:rsidR="00EC78DA" w:rsidRPr="00B21078">
        <w:rPr>
          <w:rFonts w:ascii="Garamond" w:hAnsi="Garamond"/>
        </w:rPr>
        <w:t xml:space="preserve">different </w:t>
      </w:r>
      <w:r w:rsidR="00B950FE" w:rsidRPr="00B21078">
        <w:rPr>
          <w:rFonts w:ascii="Garamond" w:hAnsi="Garamond"/>
        </w:rPr>
        <w:t xml:space="preserve">justifications provided by </w:t>
      </w:r>
      <w:r w:rsidR="00EC78DA" w:rsidRPr="00B21078">
        <w:rPr>
          <w:rFonts w:ascii="Garamond" w:hAnsi="Garamond"/>
        </w:rPr>
        <w:t xml:space="preserve">the </w:t>
      </w:r>
      <w:r w:rsidR="00BE6B6E" w:rsidRPr="00B21078">
        <w:rPr>
          <w:rFonts w:ascii="Garamond" w:hAnsi="Garamond"/>
        </w:rPr>
        <w:t>civilian leader to</w:t>
      </w:r>
      <w:r w:rsidR="00B950FE" w:rsidRPr="00B21078">
        <w:rPr>
          <w:rFonts w:ascii="Garamond" w:hAnsi="Garamond"/>
        </w:rPr>
        <w:t xml:space="preserve"> explain the de-escalation </w:t>
      </w:r>
      <w:r w:rsidR="00F22D97" w:rsidRPr="00B21078">
        <w:rPr>
          <w:rFonts w:ascii="Garamond" w:hAnsi="Garamond"/>
        </w:rPr>
        <w:t>affect</w:t>
      </w:r>
      <w:r w:rsidR="00982725" w:rsidRPr="00B21078">
        <w:rPr>
          <w:rFonts w:ascii="Garamond" w:hAnsi="Garamond"/>
        </w:rPr>
        <w:t>ed</w:t>
      </w:r>
      <w:r w:rsidR="00EE7730" w:rsidRPr="00B21078">
        <w:rPr>
          <w:rFonts w:ascii="Garamond" w:hAnsi="Garamond"/>
        </w:rPr>
        <w:t xml:space="preserve"> support</w:t>
      </w:r>
      <w:r w:rsidR="00BE6B6E" w:rsidRPr="00B21078">
        <w:rPr>
          <w:rFonts w:ascii="Garamond" w:hAnsi="Garamond"/>
        </w:rPr>
        <w:t xml:space="preserve"> for the decision</w:t>
      </w:r>
      <w:r w:rsidR="00EE7730" w:rsidRPr="00B21078">
        <w:rPr>
          <w:rFonts w:ascii="Garamond" w:hAnsi="Garamond"/>
        </w:rPr>
        <w:t>.</w:t>
      </w:r>
      <w:r w:rsidR="0069633A">
        <w:rPr>
          <w:rFonts w:ascii="Garamond" w:hAnsi="Garamond"/>
        </w:rPr>
        <w:t xml:space="preserve"> </w:t>
      </w:r>
      <w:r w:rsidR="00EA0503">
        <w:rPr>
          <w:rFonts w:ascii="Garamond" w:hAnsi="Garamond"/>
        </w:rPr>
        <w:t xml:space="preserve">Due to </w:t>
      </w:r>
      <w:r w:rsidR="00230F5C">
        <w:rPr>
          <w:rFonts w:ascii="Garamond" w:hAnsi="Garamond"/>
        </w:rPr>
        <w:t xml:space="preserve">constraints related to sample size, we opted </w:t>
      </w:r>
      <w:r w:rsidR="00E910B3">
        <w:rPr>
          <w:rFonts w:ascii="Garamond" w:hAnsi="Garamond"/>
        </w:rPr>
        <w:t xml:space="preserve">against </w:t>
      </w:r>
      <w:r w:rsidR="00DF20B5">
        <w:rPr>
          <w:rFonts w:ascii="Garamond" w:hAnsi="Garamond"/>
        </w:rPr>
        <w:t xml:space="preserve">including treatments in which the </w:t>
      </w:r>
      <w:r w:rsidR="00E65A40">
        <w:rPr>
          <w:rFonts w:ascii="Garamond" w:hAnsi="Garamond"/>
        </w:rPr>
        <w:t>COAS</w:t>
      </w:r>
      <w:r w:rsidR="00DF20B5">
        <w:rPr>
          <w:rFonts w:ascii="Garamond" w:hAnsi="Garamond"/>
        </w:rPr>
        <w:t xml:space="preserve"> also provided </w:t>
      </w:r>
      <w:r w:rsidR="0035000B">
        <w:rPr>
          <w:rFonts w:ascii="Garamond" w:hAnsi="Garamond"/>
        </w:rPr>
        <w:t xml:space="preserve">explanations for de-escalation. </w:t>
      </w:r>
    </w:p>
    <w:tbl>
      <w:tblPr>
        <w:tblStyle w:val="TableGrid"/>
        <w:tblW w:w="9468" w:type="dxa"/>
        <w:tblLook w:val="04A0" w:firstRow="1" w:lastRow="0" w:firstColumn="1" w:lastColumn="0" w:noHBand="0" w:noVBand="1"/>
      </w:tblPr>
      <w:tblGrid>
        <w:gridCol w:w="4225"/>
        <w:gridCol w:w="2520"/>
        <w:gridCol w:w="2723"/>
      </w:tblGrid>
      <w:tr w:rsidR="00C2584D" w:rsidRPr="00B21078" w14:paraId="5E0BF254" w14:textId="77777777" w:rsidTr="00292EDC">
        <w:tc>
          <w:tcPr>
            <w:tcW w:w="9468" w:type="dxa"/>
            <w:gridSpan w:val="3"/>
            <w:shd w:val="clear" w:color="auto" w:fill="D9D9D9"/>
          </w:tcPr>
          <w:p w14:paraId="7D591873" w14:textId="3836B389" w:rsidR="00C2584D" w:rsidRPr="00B21078" w:rsidRDefault="009E059C" w:rsidP="00AB545C">
            <w:pPr>
              <w:pStyle w:val="ListParagraph"/>
              <w:ind w:left="0"/>
              <w:jc w:val="center"/>
              <w:rPr>
                <w:rFonts w:ascii="Garamond" w:hAnsi="Garamond"/>
                <w:b/>
              </w:rPr>
            </w:pPr>
            <w:r w:rsidRPr="00B21078">
              <w:rPr>
                <w:rFonts w:ascii="Garamond" w:hAnsi="Garamond"/>
                <w:b/>
              </w:rPr>
              <w:t>Table I</w:t>
            </w:r>
            <w:r w:rsidR="00D376A7" w:rsidRPr="00B21078">
              <w:rPr>
                <w:rFonts w:ascii="Garamond" w:hAnsi="Garamond"/>
                <w:b/>
              </w:rPr>
              <w:t>I</w:t>
            </w:r>
            <w:r w:rsidR="0001471E">
              <w:rPr>
                <w:rFonts w:ascii="Garamond" w:hAnsi="Garamond"/>
                <w:b/>
              </w:rPr>
              <w:t>:</w:t>
            </w:r>
            <w:r w:rsidRPr="00B21078">
              <w:rPr>
                <w:rFonts w:ascii="Garamond" w:hAnsi="Garamond"/>
                <w:b/>
              </w:rPr>
              <w:t xml:space="preserve"> Treatment Assignment</w:t>
            </w:r>
          </w:p>
        </w:tc>
      </w:tr>
      <w:tr w:rsidR="00C2584D" w:rsidRPr="00B21078" w14:paraId="2D9A49C7" w14:textId="77777777" w:rsidTr="00292EDC">
        <w:tc>
          <w:tcPr>
            <w:tcW w:w="4225" w:type="dxa"/>
          </w:tcPr>
          <w:p w14:paraId="0B5C78C7" w14:textId="6B9653C5" w:rsidR="00C2584D" w:rsidRPr="00B21078" w:rsidRDefault="00C2584D" w:rsidP="00A15016">
            <w:pPr>
              <w:pStyle w:val="ListParagraph"/>
              <w:ind w:left="0"/>
              <w:rPr>
                <w:rFonts w:ascii="Garamond" w:hAnsi="Garamond"/>
                <w:b/>
              </w:rPr>
            </w:pPr>
          </w:p>
        </w:tc>
        <w:tc>
          <w:tcPr>
            <w:tcW w:w="2520" w:type="dxa"/>
          </w:tcPr>
          <w:p w14:paraId="75923239" w14:textId="4BEF621F" w:rsidR="00C2584D" w:rsidRPr="00B21078" w:rsidRDefault="00C2584D" w:rsidP="00A15016">
            <w:pPr>
              <w:pStyle w:val="ListParagraph"/>
              <w:ind w:left="0"/>
              <w:rPr>
                <w:rFonts w:ascii="Garamond" w:hAnsi="Garamond"/>
                <w:b/>
              </w:rPr>
            </w:pPr>
            <w:r w:rsidRPr="00B21078">
              <w:rPr>
                <w:rFonts w:ascii="Garamond" w:hAnsi="Garamond"/>
                <w:b/>
              </w:rPr>
              <w:t xml:space="preserve">Prime Minister </w:t>
            </w:r>
            <w:r w:rsidR="006109EE">
              <w:rPr>
                <w:rFonts w:ascii="Garamond" w:hAnsi="Garamond"/>
                <w:b/>
              </w:rPr>
              <w:t>(PM)</w:t>
            </w:r>
          </w:p>
        </w:tc>
        <w:tc>
          <w:tcPr>
            <w:tcW w:w="2723" w:type="dxa"/>
          </w:tcPr>
          <w:p w14:paraId="049D9CF0" w14:textId="464807C6" w:rsidR="00C2584D" w:rsidRPr="00B21078" w:rsidRDefault="00C2584D">
            <w:pPr>
              <w:pStyle w:val="ListParagraph"/>
              <w:ind w:left="0"/>
              <w:rPr>
                <w:rFonts w:ascii="Garamond" w:hAnsi="Garamond"/>
                <w:b/>
              </w:rPr>
            </w:pPr>
            <w:r w:rsidRPr="00B21078">
              <w:rPr>
                <w:rFonts w:ascii="Garamond" w:hAnsi="Garamond"/>
                <w:b/>
              </w:rPr>
              <w:t>Chief of Army Staff</w:t>
            </w:r>
            <w:r w:rsidR="006109EE">
              <w:rPr>
                <w:rFonts w:ascii="Garamond" w:hAnsi="Garamond"/>
                <w:b/>
              </w:rPr>
              <w:t xml:space="preserve"> (COAS)</w:t>
            </w:r>
          </w:p>
        </w:tc>
      </w:tr>
      <w:tr w:rsidR="00C2584D" w:rsidRPr="00B21078" w14:paraId="1A62C206" w14:textId="77777777" w:rsidTr="00292EDC">
        <w:tc>
          <w:tcPr>
            <w:tcW w:w="4225" w:type="dxa"/>
          </w:tcPr>
          <w:p w14:paraId="130D1FAD" w14:textId="77A21D4B" w:rsidR="00C2584D" w:rsidRPr="00B21078" w:rsidRDefault="00C2584D" w:rsidP="00A15016">
            <w:pPr>
              <w:pStyle w:val="ListParagraph"/>
              <w:ind w:left="0"/>
              <w:rPr>
                <w:rFonts w:ascii="Garamond" w:hAnsi="Garamond"/>
                <w:b/>
              </w:rPr>
            </w:pPr>
            <w:r w:rsidRPr="00B21078">
              <w:rPr>
                <w:rFonts w:ascii="Garamond" w:hAnsi="Garamond"/>
                <w:b/>
              </w:rPr>
              <w:t>De</w:t>
            </w:r>
            <w:r w:rsidR="001901FD">
              <w:rPr>
                <w:rFonts w:ascii="Garamond" w:hAnsi="Garamond"/>
                <w:b/>
              </w:rPr>
              <w:t>-</w:t>
            </w:r>
            <w:r w:rsidRPr="00B21078">
              <w:rPr>
                <w:rFonts w:ascii="Garamond" w:hAnsi="Garamond"/>
                <w:b/>
              </w:rPr>
              <w:t xml:space="preserve">escalate with no explanation </w:t>
            </w:r>
          </w:p>
        </w:tc>
        <w:tc>
          <w:tcPr>
            <w:tcW w:w="2520" w:type="dxa"/>
          </w:tcPr>
          <w:p w14:paraId="7984F527" w14:textId="6FB2BA6A" w:rsidR="00C2584D" w:rsidRPr="00292EDC" w:rsidRDefault="00C2584D" w:rsidP="00A15016">
            <w:pPr>
              <w:pStyle w:val="ListParagraph"/>
              <w:ind w:left="0"/>
              <w:rPr>
                <w:rFonts w:ascii="Garamond" w:hAnsi="Garamond"/>
                <w:bCs/>
              </w:rPr>
            </w:pPr>
            <w:r w:rsidRPr="00292EDC">
              <w:rPr>
                <w:rFonts w:ascii="Garamond" w:hAnsi="Garamond"/>
                <w:bCs/>
              </w:rPr>
              <w:t xml:space="preserve">Treatment 1 </w:t>
            </w:r>
            <w:r w:rsidR="006109EE" w:rsidRPr="00292EDC">
              <w:rPr>
                <w:rFonts w:ascii="Garamond" w:hAnsi="Garamond"/>
                <w:bCs/>
              </w:rPr>
              <w:t>(T1)</w:t>
            </w:r>
          </w:p>
        </w:tc>
        <w:tc>
          <w:tcPr>
            <w:tcW w:w="2723" w:type="dxa"/>
          </w:tcPr>
          <w:p w14:paraId="7CBDDA0B" w14:textId="066028FB" w:rsidR="00C2584D" w:rsidRPr="00292EDC" w:rsidRDefault="00C2584D">
            <w:pPr>
              <w:pStyle w:val="ListParagraph"/>
              <w:ind w:left="0"/>
              <w:rPr>
                <w:rFonts w:ascii="Garamond" w:hAnsi="Garamond"/>
                <w:bCs/>
              </w:rPr>
            </w:pPr>
            <w:r w:rsidRPr="00292EDC">
              <w:rPr>
                <w:rFonts w:ascii="Garamond" w:hAnsi="Garamond"/>
                <w:bCs/>
              </w:rPr>
              <w:t>T2</w:t>
            </w:r>
          </w:p>
        </w:tc>
      </w:tr>
      <w:tr w:rsidR="00C2584D" w:rsidRPr="00B21078" w14:paraId="3136A051" w14:textId="77777777" w:rsidTr="00292EDC">
        <w:tc>
          <w:tcPr>
            <w:tcW w:w="4225" w:type="dxa"/>
          </w:tcPr>
          <w:p w14:paraId="59BA148E" w14:textId="6EF07DAC" w:rsidR="00C2584D" w:rsidRPr="00B21078" w:rsidRDefault="00C2584D" w:rsidP="00A15016">
            <w:pPr>
              <w:pStyle w:val="ListParagraph"/>
              <w:ind w:left="0"/>
              <w:rPr>
                <w:rFonts w:ascii="Garamond" w:hAnsi="Garamond"/>
                <w:b/>
              </w:rPr>
            </w:pPr>
            <w:r w:rsidRPr="00B21078">
              <w:rPr>
                <w:rFonts w:ascii="Garamond" w:hAnsi="Garamond"/>
                <w:b/>
              </w:rPr>
              <w:t>De</w:t>
            </w:r>
            <w:r w:rsidR="001901FD">
              <w:rPr>
                <w:rFonts w:ascii="Garamond" w:hAnsi="Garamond"/>
                <w:b/>
              </w:rPr>
              <w:t>-</w:t>
            </w:r>
            <w:r w:rsidRPr="00B21078">
              <w:rPr>
                <w:rFonts w:ascii="Garamond" w:hAnsi="Garamond"/>
                <w:b/>
              </w:rPr>
              <w:t xml:space="preserve">escalate with economic explanation </w:t>
            </w:r>
          </w:p>
        </w:tc>
        <w:tc>
          <w:tcPr>
            <w:tcW w:w="2520" w:type="dxa"/>
          </w:tcPr>
          <w:p w14:paraId="52B36426" w14:textId="38FAE292" w:rsidR="00C2584D" w:rsidRPr="00292EDC" w:rsidRDefault="00C2584D" w:rsidP="00A15016">
            <w:pPr>
              <w:pStyle w:val="ListParagraph"/>
              <w:ind w:left="0"/>
              <w:rPr>
                <w:rFonts w:ascii="Garamond" w:hAnsi="Garamond"/>
                <w:bCs/>
              </w:rPr>
            </w:pPr>
            <w:r w:rsidRPr="00292EDC">
              <w:rPr>
                <w:rFonts w:ascii="Garamond" w:hAnsi="Garamond"/>
                <w:bCs/>
              </w:rPr>
              <w:t>T3</w:t>
            </w:r>
          </w:p>
        </w:tc>
        <w:tc>
          <w:tcPr>
            <w:tcW w:w="2723" w:type="dxa"/>
          </w:tcPr>
          <w:p w14:paraId="4715FA78" w14:textId="30ADFF63" w:rsidR="00C2584D" w:rsidRPr="00292EDC" w:rsidRDefault="00C2584D">
            <w:pPr>
              <w:pStyle w:val="ListParagraph"/>
              <w:ind w:left="0"/>
              <w:rPr>
                <w:rFonts w:ascii="Garamond" w:hAnsi="Garamond"/>
                <w:bCs/>
              </w:rPr>
            </w:pPr>
            <w:r w:rsidRPr="00292EDC">
              <w:rPr>
                <w:rFonts w:ascii="Garamond" w:hAnsi="Garamond"/>
                <w:bCs/>
              </w:rPr>
              <w:t xml:space="preserve">-- </w:t>
            </w:r>
          </w:p>
        </w:tc>
      </w:tr>
      <w:tr w:rsidR="00C2584D" w:rsidRPr="00B21078" w14:paraId="6300BD56" w14:textId="77777777" w:rsidTr="00292EDC">
        <w:tc>
          <w:tcPr>
            <w:tcW w:w="4225" w:type="dxa"/>
          </w:tcPr>
          <w:p w14:paraId="17B10B49" w14:textId="1B1228F2" w:rsidR="00C2584D" w:rsidRPr="00B21078" w:rsidRDefault="00C2584D" w:rsidP="00A15016">
            <w:pPr>
              <w:pStyle w:val="ListParagraph"/>
              <w:ind w:left="0"/>
              <w:rPr>
                <w:rFonts w:ascii="Garamond" w:hAnsi="Garamond"/>
                <w:b/>
              </w:rPr>
            </w:pPr>
            <w:r w:rsidRPr="00B21078">
              <w:rPr>
                <w:rFonts w:ascii="Garamond" w:hAnsi="Garamond"/>
                <w:b/>
              </w:rPr>
              <w:t>De</w:t>
            </w:r>
            <w:r w:rsidR="001901FD">
              <w:rPr>
                <w:rFonts w:ascii="Garamond" w:hAnsi="Garamond"/>
                <w:b/>
              </w:rPr>
              <w:t>-</w:t>
            </w:r>
            <w:r w:rsidRPr="00B21078">
              <w:rPr>
                <w:rFonts w:ascii="Garamond" w:hAnsi="Garamond"/>
                <w:b/>
              </w:rPr>
              <w:t xml:space="preserve">escalate with nuclear explanation </w:t>
            </w:r>
          </w:p>
        </w:tc>
        <w:tc>
          <w:tcPr>
            <w:tcW w:w="2520" w:type="dxa"/>
          </w:tcPr>
          <w:p w14:paraId="7E0AAA69" w14:textId="2647F150" w:rsidR="00C2584D" w:rsidRPr="00292EDC" w:rsidRDefault="00C2584D" w:rsidP="00A15016">
            <w:pPr>
              <w:pStyle w:val="ListParagraph"/>
              <w:ind w:left="0"/>
              <w:rPr>
                <w:rFonts w:ascii="Garamond" w:hAnsi="Garamond"/>
                <w:bCs/>
              </w:rPr>
            </w:pPr>
            <w:r w:rsidRPr="00292EDC">
              <w:rPr>
                <w:rFonts w:ascii="Garamond" w:hAnsi="Garamond"/>
                <w:bCs/>
              </w:rPr>
              <w:t>T4</w:t>
            </w:r>
          </w:p>
        </w:tc>
        <w:tc>
          <w:tcPr>
            <w:tcW w:w="2723" w:type="dxa"/>
          </w:tcPr>
          <w:p w14:paraId="7A387581" w14:textId="19EA2E8E" w:rsidR="00C2584D" w:rsidRPr="00292EDC" w:rsidRDefault="00C2584D">
            <w:pPr>
              <w:pStyle w:val="ListParagraph"/>
              <w:ind w:left="0"/>
              <w:rPr>
                <w:rFonts w:ascii="Garamond" w:hAnsi="Garamond"/>
                <w:bCs/>
              </w:rPr>
            </w:pPr>
            <w:r w:rsidRPr="00292EDC">
              <w:rPr>
                <w:rFonts w:ascii="Garamond" w:hAnsi="Garamond"/>
                <w:bCs/>
              </w:rPr>
              <w:t>--</w:t>
            </w:r>
          </w:p>
        </w:tc>
      </w:tr>
      <w:tr w:rsidR="00C2584D" w:rsidRPr="00B21078" w14:paraId="3570D355" w14:textId="77777777" w:rsidTr="00292EDC">
        <w:tc>
          <w:tcPr>
            <w:tcW w:w="4225" w:type="dxa"/>
          </w:tcPr>
          <w:p w14:paraId="24BA9A03" w14:textId="4808B808" w:rsidR="00C2584D" w:rsidRPr="00B21078" w:rsidRDefault="00C2584D" w:rsidP="00A15016">
            <w:pPr>
              <w:pStyle w:val="ListParagraph"/>
              <w:ind w:left="0"/>
              <w:rPr>
                <w:rFonts w:ascii="Garamond" w:hAnsi="Garamond"/>
                <w:b/>
              </w:rPr>
            </w:pPr>
            <w:r w:rsidRPr="00B21078">
              <w:rPr>
                <w:rFonts w:ascii="Garamond" w:hAnsi="Garamond"/>
                <w:b/>
              </w:rPr>
              <w:t>Escalate</w:t>
            </w:r>
          </w:p>
        </w:tc>
        <w:tc>
          <w:tcPr>
            <w:tcW w:w="2520" w:type="dxa"/>
          </w:tcPr>
          <w:p w14:paraId="25B336FD" w14:textId="1188D876" w:rsidR="00C2584D" w:rsidRPr="00292EDC" w:rsidRDefault="00C2584D" w:rsidP="00A15016">
            <w:pPr>
              <w:pStyle w:val="ListParagraph"/>
              <w:ind w:left="0"/>
              <w:rPr>
                <w:rFonts w:ascii="Garamond" w:hAnsi="Garamond"/>
                <w:bCs/>
              </w:rPr>
            </w:pPr>
            <w:r w:rsidRPr="00292EDC">
              <w:rPr>
                <w:rFonts w:ascii="Garamond" w:hAnsi="Garamond"/>
                <w:bCs/>
              </w:rPr>
              <w:t>T5</w:t>
            </w:r>
          </w:p>
        </w:tc>
        <w:tc>
          <w:tcPr>
            <w:tcW w:w="2723" w:type="dxa"/>
          </w:tcPr>
          <w:p w14:paraId="67514FD7" w14:textId="49E4DA45" w:rsidR="00C2584D" w:rsidRPr="00292EDC" w:rsidRDefault="00C2584D">
            <w:pPr>
              <w:pStyle w:val="ListParagraph"/>
              <w:ind w:left="0"/>
              <w:rPr>
                <w:rFonts w:ascii="Garamond" w:hAnsi="Garamond"/>
                <w:bCs/>
              </w:rPr>
            </w:pPr>
            <w:r w:rsidRPr="00292EDC">
              <w:rPr>
                <w:rFonts w:ascii="Garamond" w:hAnsi="Garamond"/>
                <w:bCs/>
              </w:rPr>
              <w:t xml:space="preserve">T6 </w:t>
            </w:r>
          </w:p>
        </w:tc>
      </w:tr>
    </w:tbl>
    <w:p w14:paraId="5091593D" w14:textId="1497DE89" w:rsidR="0069633A" w:rsidRPr="00B21078" w:rsidRDefault="0069633A" w:rsidP="0009296A">
      <w:pPr>
        <w:spacing w:line="480" w:lineRule="auto"/>
        <w:rPr>
          <w:rFonts w:ascii="Garamond" w:hAnsi="Garamond"/>
        </w:rPr>
      </w:pPr>
      <w:r>
        <w:rPr>
          <w:rFonts w:ascii="Garamond" w:hAnsi="Garamond"/>
        </w:rPr>
        <w:tab/>
      </w:r>
    </w:p>
    <w:p w14:paraId="2EC7392B" w14:textId="480D7D7F" w:rsidR="00FF0B9D" w:rsidRPr="00B21078" w:rsidRDefault="00CA5DF0" w:rsidP="0009296A">
      <w:pPr>
        <w:spacing w:line="480" w:lineRule="auto"/>
        <w:ind w:firstLine="720"/>
        <w:rPr>
          <w:rFonts w:ascii="Garamond" w:hAnsi="Garamond"/>
        </w:rPr>
      </w:pPr>
      <w:r w:rsidRPr="00B21078">
        <w:rPr>
          <w:rFonts w:ascii="Garamond" w:hAnsi="Garamond"/>
        </w:rPr>
        <w:t xml:space="preserve">To test these, a short vignette was read to all </w:t>
      </w:r>
      <w:r w:rsidR="00F22D97" w:rsidRPr="00B21078">
        <w:rPr>
          <w:rFonts w:ascii="Garamond" w:hAnsi="Garamond"/>
        </w:rPr>
        <w:t>respondents. The vignette</w:t>
      </w:r>
      <w:r w:rsidR="000C22D2" w:rsidRPr="00B21078">
        <w:rPr>
          <w:rFonts w:ascii="Garamond" w:hAnsi="Garamond"/>
        </w:rPr>
        <w:t>, meant to evoke the 2016 Uri attack detailed e</w:t>
      </w:r>
      <w:r w:rsidR="00390247">
        <w:rPr>
          <w:rFonts w:ascii="Garamond" w:hAnsi="Garamond"/>
        </w:rPr>
        <w:t>arlier</w:t>
      </w:r>
      <w:r w:rsidR="000C22D2" w:rsidRPr="00B21078">
        <w:rPr>
          <w:rFonts w:ascii="Garamond" w:hAnsi="Garamond"/>
        </w:rPr>
        <w:t>,</w:t>
      </w:r>
      <w:r w:rsidR="00F22D97" w:rsidRPr="00B21078">
        <w:rPr>
          <w:rFonts w:ascii="Garamond" w:hAnsi="Garamond"/>
        </w:rPr>
        <w:t xml:space="preserve"> </w:t>
      </w:r>
      <w:r w:rsidR="00B6635D" w:rsidRPr="00B21078">
        <w:rPr>
          <w:rFonts w:ascii="Garamond" w:hAnsi="Garamond"/>
        </w:rPr>
        <w:t>described</w:t>
      </w:r>
      <w:r w:rsidR="00F22D97" w:rsidRPr="00B21078">
        <w:rPr>
          <w:rFonts w:ascii="Garamond" w:hAnsi="Garamond"/>
        </w:rPr>
        <w:t xml:space="preserve"> </w:t>
      </w:r>
      <w:r w:rsidRPr="00B21078">
        <w:rPr>
          <w:rFonts w:ascii="Garamond" w:hAnsi="Garamond"/>
        </w:rPr>
        <w:t>a hypothetical</w:t>
      </w:r>
      <w:r w:rsidR="00F22D97" w:rsidRPr="00B21078">
        <w:rPr>
          <w:rFonts w:ascii="Garamond" w:hAnsi="Garamond"/>
        </w:rPr>
        <w:t xml:space="preserve"> </w:t>
      </w:r>
      <w:r w:rsidRPr="00B21078">
        <w:rPr>
          <w:rFonts w:ascii="Garamond" w:hAnsi="Garamond"/>
        </w:rPr>
        <w:t xml:space="preserve">scenario in which fighting </w:t>
      </w:r>
      <w:r w:rsidR="00952638">
        <w:rPr>
          <w:rFonts w:ascii="Garamond" w:hAnsi="Garamond"/>
        </w:rPr>
        <w:t>breaks</w:t>
      </w:r>
      <w:r w:rsidRPr="00B21078">
        <w:rPr>
          <w:rFonts w:ascii="Garamond" w:hAnsi="Garamond"/>
        </w:rPr>
        <w:t xml:space="preserve"> out between India and Pakistan</w:t>
      </w:r>
      <w:r w:rsidR="00B6635D" w:rsidRPr="00B21078">
        <w:rPr>
          <w:rFonts w:ascii="Garamond" w:hAnsi="Garamond"/>
        </w:rPr>
        <w:t xml:space="preserve">, </w:t>
      </w:r>
      <w:r w:rsidR="00952638">
        <w:rPr>
          <w:rFonts w:ascii="Garamond" w:hAnsi="Garamond"/>
        </w:rPr>
        <w:t>leading</w:t>
      </w:r>
      <w:r w:rsidR="00952638" w:rsidRPr="00B21078">
        <w:rPr>
          <w:rFonts w:ascii="Garamond" w:hAnsi="Garamond"/>
        </w:rPr>
        <w:t xml:space="preserve"> </w:t>
      </w:r>
      <w:r w:rsidR="00982725" w:rsidRPr="00B21078">
        <w:rPr>
          <w:rFonts w:ascii="Garamond" w:hAnsi="Garamond"/>
        </w:rPr>
        <w:t xml:space="preserve">the </w:t>
      </w:r>
      <w:r w:rsidRPr="00B21078">
        <w:rPr>
          <w:rFonts w:ascii="Garamond" w:hAnsi="Garamond"/>
        </w:rPr>
        <w:t>India</w:t>
      </w:r>
      <w:r w:rsidR="00982725" w:rsidRPr="00B21078">
        <w:rPr>
          <w:rFonts w:ascii="Garamond" w:hAnsi="Garamond"/>
        </w:rPr>
        <w:t>n army</w:t>
      </w:r>
      <w:r w:rsidRPr="00B21078">
        <w:rPr>
          <w:rFonts w:ascii="Garamond" w:hAnsi="Garamond"/>
        </w:rPr>
        <w:t xml:space="preserve"> </w:t>
      </w:r>
      <w:r w:rsidR="00B6635D" w:rsidRPr="00B21078">
        <w:rPr>
          <w:rFonts w:ascii="Garamond" w:hAnsi="Garamond"/>
        </w:rPr>
        <w:t>to</w:t>
      </w:r>
      <w:r w:rsidR="00CC163A" w:rsidRPr="00B21078">
        <w:rPr>
          <w:rFonts w:ascii="Garamond" w:hAnsi="Garamond"/>
        </w:rPr>
        <w:t xml:space="preserve"> kill</w:t>
      </w:r>
      <w:r w:rsidRPr="00B21078">
        <w:rPr>
          <w:rFonts w:ascii="Garamond" w:hAnsi="Garamond"/>
        </w:rPr>
        <w:t xml:space="preserve"> 10 Pakistani soldiers </w:t>
      </w:r>
      <w:r w:rsidR="00085B1C" w:rsidRPr="00B21078">
        <w:rPr>
          <w:rFonts w:ascii="Garamond" w:hAnsi="Garamond"/>
        </w:rPr>
        <w:t xml:space="preserve">across the </w:t>
      </w:r>
      <w:r w:rsidR="00983C1D">
        <w:rPr>
          <w:rFonts w:ascii="Garamond" w:hAnsi="Garamond"/>
        </w:rPr>
        <w:t>Line of Contro</w:t>
      </w:r>
      <w:r w:rsidR="00983C1D" w:rsidRPr="00B21078">
        <w:rPr>
          <w:rFonts w:ascii="Garamond" w:hAnsi="Garamond"/>
        </w:rPr>
        <w:t xml:space="preserve"> </w:t>
      </w:r>
      <w:r w:rsidRPr="00B21078">
        <w:rPr>
          <w:rFonts w:ascii="Garamond" w:hAnsi="Garamond"/>
        </w:rPr>
        <w:t xml:space="preserve">in response to </w:t>
      </w:r>
      <w:r w:rsidR="00923DAF" w:rsidRPr="00B21078">
        <w:rPr>
          <w:rFonts w:ascii="Garamond" w:hAnsi="Garamond"/>
        </w:rPr>
        <w:t>alleged attacks by cross-border militants</w:t>
      </w:r>
      <w:r w:rsidR="00085B1C" w:rsidRPr="00B21078">
        <w:rPr>
          <w:rFonts w:ascii="Garamond" w:hAnsi="Garamond"/>
        </w:rPr>
        <w:t>.</w:t>
      </w:r>
      <w:r w:rsidR="00923DAF" w:rsidRPr="00B21078">
        <w:rPr>
          <w:rFonts w:ascii="Garamond" w:hAnsi="Garamond"/>
        </w:rPr>
        <w:t xml:space="preserve"> </w:t>
      </w:r>
      <w:r w:rsidR="00085B1C" w:rsidRPr="00B21078">
        <w:rPr>
          <w:rFonts w:ascii="Garamond" w:hAnsi="Garamond"/>
        </w:rPr>
        <w:t xml:space="preserve">In the de-escalatory conditions, the leader—alternatively the </w:t>
      </w:r>
      <w:r w:rsidR="00CC163A" w:rsidRPr="00B21078">
        <w:rPr>
          <w:rFonts w:ascii="Garamond" w:hAnsi="Garamond"/>
        </w:rPr>
        <w:t xml:space="preserve">Pakistani </w:t>
      </w:r>
      <w:r w:rsidR="00F12F0C" w:rsidRPr="00B21078">
        <w:rPr>
          <w:rFonts w:ascii="Garamond" w:hAnsi="Garamond"/>
        </w:rPr>
        <w:t xml:space="preserve">prime minister </w:t>
      </w:r>
      <w:r w:rsidR="00B64E8D">
        <w:rPr>
          <w:rFonts w:ascii="Garamond" w:hAnsi="Garamond"/>
        </w:rPr>
        <w:t>or</w:t>
      </w:r>
      <w:r w:rsidR="00F12F0C" w:rsidRPr="00B21078">
        <w:rPr>
          <w:rFonts w:ascii="Garamond" w:hAnsi="Garamond"/>
        </w:rPr>
        <w:t xml:space="preserve"> </w:t>
      </w:r>
      <w:r w:rsidR="004104F7">
        <w:rPr>
          <w:rFonts w:ascii="Garamond" w:hAnsi="Garamond"/>
        </w:rPr>
        <w:t>a</w:t>
      </w:r>
      <w:r w:rsidR="00983C1D">
        <w:rPr>
          <w:rFonts w:ascii="Garamond" w:hAnsi="Garamond"/>
        </w:rPr>
        <w:t>rmy chief</w:t>
      </w:r>
      <w:r w:rsidR="00085B1C" w:rsidRPr="00B21078">
        <w:rPr>
          <w:rFonts w:ascii="Garamond" w:hAnsi="Garamond"/>
        </w:rPr>
        <w:t>—is described as denouncing the raid</w:t>
      </w:r>
      <w:r w:rsidR="00B64E8D">
        <w:rPr>
          <w:rFonts w:ascii="Garamond" w:hAnsi="Garamond"/>
        </w:rPr>
        <w:t xml:space="preserve"> and</w:t>
      </w:r>
      <w:r w:rsidR="00085B1C" w:rsidRPr="00B21078">
        <w:rPr>
          <w:rFonts w:ascii="Garamond" w:hAnsi="Garamond"/>
        </w:rPr>
        <w:t xml:space="preserve"> asking the international community to condemn it, but choosing not to retaliate. In </w:t>
      </w:r>
      <w:r w:rsidR="00204DFC" w:rsidRPr="00B21078">
        <w:rPr>
          <w:rFonts w:ascii="Garamond" w:hAnsi="Garamond"/>
        </w:rPr>
        <w:t>two of these</w:t>
      </w:r>
      <w:r w:rsidR="005069D8" w:rsidRPr="00B21078">
        <w:rPr>
          <w:rFonts w:ascii="Garamond" w:hAnsi="Garamond"/>
        </w:rPr>
        <w:t xml:space="preserve"> de-escalation conditions, the prime m</w:t>
      </w:r>
      <w:r w:rsidR="00204DFC" w:rsidRPr="00B21078">
        <w:rPr>
          <w:rFonts w:ascii="Garamond" w:hAnsi="Garamond"/>
        </w:rPr>
        <w:t xml:space="preserve">inister </w:t>
      </w:r>
      <w:r w:rsidR="003521C2" w:rsidRPr="00B21078">
        <w:rPr>
          <w:rFonts w:ascii="Garamond" w:hAnsi="Garamond"/>
        </w:rPr>
        <w:t>provides</w:t>
      </w:r>
      <w:r w:rsidR="00454D65" w:rsidRPr="00B21078">
        <w:rPr>
          <w:rFonts w:ascii="Garamond" w:hAnsi="Garamond"/>
        </w:rPr>
        <w:t xml:space="preserve"> an explanation for his dec</w:t>
      </w:r>
      <w:r w:rsidR="00747746" w:rsidRPr="00B21078">
        <w:rPr>
          <w:rFonts w:ascii="Garamond" w:hAnsi="Garamond"/>
        </w:rPr>
        <w:t>ision. The</w:t>
      </w:r>
      <w:r w:rsidR="003521C2" w:rsidRPr="00B21078">
        <w:rPr>
          <w:rFonts w:ascii="Garamond" w:hAnsi="Garamond"/>
        </w:rPr>
        <w:t xml:space="preserve"> first explanation highlights</w:t>
      </w:r>
      <w:r w:rsidR="00747746" w:rsidRPr="00B21078">
        <w:rPr>
          <w:rFonts w:ascii="Garamond" w:hAnsi="Garamond"/>
        </w:rPr>
        <w:t xml:space="preserve"> the economic cost </w:t>
      </w:r>
      <w:r w:rsidR="00054083" w:rsidRPr="00B21078">
        <w:rPr>
          <w:rFonts w:ascii="Garamond" w:hAnsi="Garamond"/>
        </w:rPr>
        <w:t xml:space="preserve">of a potential war </w:t>
      </w:r>
      <w:r w:rsidR="006376EB" w:rsidRPr="00B21078">
        <w:rPr>
          <w:rFonts w:ascii="Garamond" w:hAnsi="Garamond"/>
        </w:rPr>
        <w:t>with India</w:t>
      </w:r>
      <w:r w:rsidR="003521C2" w:rsidRPr="00B21078">
        <w:rPr>
          <w:rFonts w:ascii="Garamond" w:hAnsi="Garamond"/>
        </w:rPr>
        <w:t>, while the second emphasizes</w:t>
      </w:r>
      <w:r w:rsidR="00054083" w:rsidRPr="00B21078">
        <w:rPr>
          <w:rFonts w:ascii="Garamond" w:hAnsi="Garamond"/>
        </w:rPr>
        <w:t xml:space="preserve"> how fighting</w:t>
      </w:r>
      <w:r w:rsidR="00E80BF1" w:rsidRPr="00B21078">
        <w:rPr>
          <w:rFonts w:ascii="Garamond" w:hAnsi="Garamond"/>
        </w:rPr>
        <w:t xml:space="preserve"> could lead to</w:t>
      </w:r>
      <w:r w:rsidR="007A4DCE" w:rsidRPr="00B21078">
        <w:rPr>
          <w:rFonts w:ascii="Garamond" w:hAnsi="Garamond"/>
        </w:rPr>
        <w:t xml:space="preserve"> nuclear war and resultant</w:t>
      </w:r>
      <w:r w:rsidR="00D84F26" w:rsidRPr="00B21078">
        <w:rPr>
          <w:rFonts w:ascii="Garamond" w:hAnsi="Garamond"/>
        </w:rPr>
        <w:t>l</w:t>
      </w:r>
      <w:r w:rsidR="007A4DCE" w:rsidRPr="00B21078">
        <w:rPr>
          <w:rFonts w:ascii="Garamond" w:hAnsi="Garamond"/>
        </w:rPr>
        <w:t>y, a</w:t>
      </w:r>
      <w:r w:rsidR="00054083" w:rsidRPr="00B21078">
        <w:rPr>
          <w:rFonts w:ascii="Garamond" w:hAnsi="Garamond"/>
        </w:rPr>
        <w:t xml:space="preserve"> large number of deaths. </w:t>
      </w:r>
      <w:r w:rsidR="00F22D97" w:rsidRPr="00B21078">
        <w:rPr>
          <w:rFonts w:ascii="Garamond" w:hAnsi="Garamond"/>
        </w:rPr>
        <w:t>In the escalation treatment, the leader</w:t>
      </w:r>
      <w:r w:rsidR="005069D8" w:rsidRPr="00B21078">
        <w:rPr>
          <w:rFonts w:ascii="Garamond" w:hAnsi="Garamond"/>
        </w:rPr>
        <w:t>—</w:t>
      </w:r>
      <w:r w:rsidR="003F2FBC">
        <w:rPr>
          <w:rFonts w:ascii="Garamond" w:hAnsi="Garamond"/>
        </w:rPr>
        <w:t>either</w:t>
      </w:r>
      <w:r w:rsidR="00952638" w:rsidRPr="00B21078">
        <w:rPr>
          <w:rFonts w:ascii="Garamond" w:hAnsi="Garamond"/>
        </w:rPr>
        <w:t xml:space="preserve"> </w:t>
      </w:r>
      <w:r w:rsidR="005069D8" w:rsidRPr="00B21078">
        <w:rPr>
          <w:rFonts w:ascii="Garamond" w:hAnsi="Garamond"/>
        </w:rPr>
        <w:t xml:space="preserve">the </w:t>
      </w:r>
      <w:r w:rsidR="00B64E8D" w:rsidRPr="00B21078">
        <w:rPr>
          <w:rFonts w:ascii="Garamond" w:hAnsi="Garamond"/>
        </w:rPr>
        <w:t xml:space="preserve">prime minister </w:t>
      </w:r>
      <w:r w:rsidR="00B64E8D">
        <w:rPr>
          <w:rFonts w:ascii="Garamond" w:hAnsi="Garamond"/>
        </w:rPr>
        <w:t>or</w:t>
      </w:r>
      <w:r w:rsidR="00B64E8D" w:rsidRPr="00B21078">
        <w:rPr>
          <w:rFonts w:ascii="Garamond" w:hAnsi="Garamond"/>
        </w:rPr>
        <w:t xml:space="preserve"> </w:t>
      </w:r>
      <w:r w:rsidR="004104F7">
        <w:rPr>
          <w:rFonts w:ascii="Garamond" w:hAnsi="Garamond"/>
        </w:rPr>
        <w:t>a</w:t>
      </w:r>
      <w:r w:rsidR="00983C1D">
        <w:rPr>
          <w:rFonts w:ascii="Garamond" w:hAnsi="Garamond"/>
        </w:rPr>
        <w:t>rmy chief</w:t>
      </w:r>
      <w:r w:rsidR="005069D8" w:rsidRPr="00B21078">
        <w:rPr>
          <w:rFonts w:ascii="Garamond" w:hAnsi="Garamond"/>
        </w:rPr>
        <w:t>—</w:t>
      </w:r>
      <w:r w:rsidR="00F22D97" w:rsidRPr="00B21078">
        <w:rPr>
          <w:rFonts w:ascii="Garamond" w:hAnsi="Garamond"/>
        </w:rPr>
        <w:t>orders an attack on Indian positions in Kashmir, which result</w:t>
      </w:r>
      <w:r w:rsidR="003521C2" w:rsidRPr="00B21078">
        <w:rPr>
          <w:rFonts w:ascii="Garamond" w:hAnsi="Garamond"/>
        </w:rPr>
        <w:t>s</w:t>
      </w:r>
      <w:r w:rsidR="00F22D97" w:rsidRPr="00B21078">
        <w:rPr>
          <w:rFonts w:ascii="Garamond" w:hAnsi="Garamond"/>
        </w:rPr>
        <w:t xml:space="preserve"> in the death of 10 Indian soldiers but also the loss of </w:t>
      </w:r>
      <w:r w:rsidR="00E259B7">
        <w:rPr>
          <w:rFonts w:ascii="Garamond" w:hAnsi="Garamond"/>
        </w:rPr>
        <w:t>five</w:t>
      </w:r>
      <w:r w:rsidR="00E259B7" w:rsidRPr="00B21078">
        <w:rPr>
          <w:rFonts w:ascii="Garamond" w:hAnsi="Garamond"/>
        </w:rPr>
        <w:t xml:space="preserve"> </w:t>
      </w:r>
      <w:r w:rsidR="00F22D97" w:rsidRPr="00B21078">
        <w:rPr>
          <w:rFonts w:ascii="Garamond" w:hAnsi="Garamond"/>
        </w:rPr>
        <w:t xml:space="preserve">Pakistani soldiers. </w:t>
      </w:r>
      <w:r w:rsidR="00777BF4" w:rsidRPr="00B21078">
        <w:rPr>
          <w:rFonts w:ascii="Garamond" w:hAnsi="Garamond"/>
        </w:rPr>
        <w:t xml:space="preserve">The text of all </w:t>
      </w:r>
      <w:r w:rsidR="005675D2" w:rsidRPr="00B21078">
        <w:rPr>
          <w:rFonts w:ascii="Garamond" w:hAnsi="Garamond"/>
        </w:rPr>
        <w:t xml:space="preserve">treatments is included in </w:t>
      </w:r>
      <w:r w:rsidR="00CA0BAA">
        <w:rPr>
          <w:rFonts w:ascii="Garamond" w:hAnsi="Garamond"/>
        </w:rPr>
        <w:t>A</w:t>
      </w:r>
      <w:r w:rsidR="005675D2" w:rsidRPr="00B21078">
        <w:rPr>
          <w:rFonts w:ascii="Garamond" w:hAnsi="Garamond"/>
        </w:rPr>
        <w:t>ppendix</w:t>
      </w:r>
      <w:r w:rsidR="00CA0BAA">
        <w:rPr>
          <w:rFonts w:ascii="Garamond" w:hAnsi="Garamond"/>
        </w:rPr>
        <w:t xml:space="preserve"> 1</w:t>
      </w:r>
      <w:r w:rsidR="005675D2" w:rsidRPr="00B21078">
        <w:rPr>
          <w:rFonts w:ascii="Garamond" w:hAnsi="Garamond"/>
        </w:rPr>
        <w:t xml:space="preserve">. </w:t>
      </w:r>
    </w:p>
    <w:p w14:paraId="4EE668D1" w14:textId="7CBC829A" w:rsidR="005675D2" w:rsidRPr="0069633A" w:rsidRDefault="00E8626F" w:rsidP="0009296A">
      <w:pPr>
        <w:spacing w:line="480" w:lineRule="auto"/>
        <w:ind w:firstLine="720"/>
        <w:rPr>
          <w:rFonts w:ascii="Garamond" w:hAnsi="Garamond" w:cs="Times New Roman"/>
        </w:rPr>
      </w:pPr>
      <w:r w:rsidRPr="00B21078">
        <w:rPr>
          <w:rFonts w:ascii="Garamond" w:hAnsi="Garamond" w:cs="Times New Roman"/>
        </w:rPr>
        <w:lastRenderedPageBreak/>
        <w:t>Although the scenario</w:t>
      </w:r>
      <w:r w:rsidR="00AF4EEF" w:rsidRPr="00B21078">
        <w:rPr>
          <w:rFonts w:ascii="Garamond" w:hAnsi="Garamond" w:cs="Times New Roman"/>
        </w:rPr>
        <w:t>s</w:t>
      </w:r>
      <w:r w:rsidRPr="00B21078">
        <w:rPr>
          <w:rFonts w:ascii="Garamond" w:hAnsi="Garamond" w:cs="Times New Roman"/>
        </w:rPr>
        <w:t xml:space="preserve"> described in the</w:t>
      </w:r>
      <w:r w:rsidR="00AF4EEF" w:rsidRPr="00B21078">
        <w:rPr>
          <w:rFonts w:ascii="Garamond" w:hAnsi="Garamond" w:cs="Times New Roman"/>
        </w:rPr>
        <w:t>se vignette</w:t>
      </w:r>
      <w:r w:rsidR="00872CF8">
        <w:rPr>
          <w:rFonts w:ascii="Garamond" w:hAnsi="Garamond" w:cs="Times New Roman"/>
        </w:rPr>
        <w:t>s</w:t>
      </w:r>
      <w:r w:rsidR="00AF4EEF" w:rsidRPr="00B21078">
        <w:rPr>
          <w:rFonts w:ascii="Garamond" w:hAnsi="Garamond" w:cs="Times New Roman"/>
        </w:rPr>
        <w:t xml:space="preserve"> are hypothetical, they</w:t>
      </w:r>
      <w:r w:rsidR="00F22D97" w:rsidRPr="00B21078">
        <w:rPr>
          <w:rFonts w:ascii="Garamond" w:hAnsi="Garamond" w:cs="Times New Roman"/>
        </w:rPr>
        <w:t xml:space="preserve"> </w:t>
      </w:r>
      <w:r w:rsidR="00390247">
        <w:rPr>
          <w:rFonts w:ascii="Garamond" w:hAnsi="Garamond" w:cs="Times New Roman"/>
        </w:rPr>
        <w:t>are</w:t>
      </w:r>
      <w:r w:rsidR="00A106E3" w:rsidRPr="00B21078">
        <w:rPr>
          <w:rFonts w:ascii="Garamond" w:hAnsi="Garamond" w:cs="Times New Roman"/>
        </w:rPr>
        <w:t xml:space="preserve"> based on </w:t>
      </w:r>
      <w:r w:rsidR="00807280">
        <w:rPr>
          <w:rFonts w:ascii="Garamond" w:hAnsi="Garamond" w:cs="Times New Roman"/>
        </w:rPr>
        <w:t xml:space="preserve">widely reported </w:t>
      </w:r>
      <w:r w:rsidR="00A106E3" w:rsidRPr="00B21078">
        <w:rPr>
          <w:rFonts w:ascii="Garamond" w:hAnsi="Garamond" w:cs="Times New Roman"/>
        </w:rPr>
        <w:t>recent events</w:t>
      </w:r>
      <w:r w:rsidR="00662808" w:rsidRPr="00B21078">
        <w:rPr>
          <w:rFonts w:ascii="Garamond" w:hAnsi="Garamond" w:cs="Times New Roman"/>
        </w:rPr>
        <w:t xml:space="preserve">. </w:t>
      </w:r>
      <w:r w:rsidR="009C732B" w:rsidRPr="00B21078">
        <w:rPr>
          <w:rFonts w:ascii="Garamond" w:hAnsi="Garamond" w:cs="Times New Roman"/>
        </w:rPr>
        <w:t xml:space="preserve">As such, we expect that respondents would not have had </w:t>
      </w:r>
      <w:r w:rsidR="009444EB" w:rsidRPr="00B21078">
        <w:rPr>
          <w:rFonts w:ascii="Garamond" w:hAnsi="Garamond" w:cs="Times New Roman"/>
        </w:rPr>
        <w:t xml:space="preserve">difficulty </w:t>
      </w:r>
      <w:r w:rsidR="00BF0D9B" w:rsidRPr="00B21078">
        <w:rPr>
          <w:rFonts w:ascii="Garamond" w:hAnsi="Garamond" w:cs="Times New Roman"/>
        </w:rPr>
        <w:t>understanding</w:t>
      </w:r>
      <w:r w:rsidR="00390247">
        <w:rPr>
          <w:rFonts w:ascii="Garamond" w:hAnsi="Garamond" w:cs="Times New Roman"/>
        </w:rPr>
        <w:t xml:space="preserve"> the scenarios</w:t>
      </w:r>
      <w:r w:rsidR="003521C2" w:rsidRPr="00B21078">
        <w:rPr>
          <w:rFonts w:ascii="Garamond" w:hAnsi="Garamond" w:cs="Times New Roman"/>
        </w:rPr>
        <w:t xml:space="preserve">, nor in </w:t>
      </w:r>
      <w:r w:rsidR="00F03EC5" w:rsidRPr="00B21078">
        <w:rPr>
          <w:rFonts w:ascii="Garamond" w:hAnsi="Garamond" w:cs="Times New Roman"/>
        </w:rPr>
        <w:t xml:space="preserve">perceiving </w:t>
      </w:r>
      <w:r w:rsidR="00390247">
        <w:rPr>
          <w:rFonts w:ascii="Garamond" w:hAnsi="Garamond" w:cs="Times New Roman"/>
        </w:rPr>
        <w:t>them</w:t>
      </w:r>
      <w:r w:rsidR="00F03EC5" w:rsidRPr="00B21078">
        <w:rPr>
          <w:rFonts w:ascii="Garamond" w:hAnsi="Garamond" w:cs="Times New Roman"/>
        </w:rPr>
        <w:t xml:space="preserve"> as plausible</w:t>
      </w:r>
      <w:r w:rsidR="009C732B" w:rsidRPr="00B21078">
        <w:rPr>
          <w:rFonts w:ascii="Garamond" w:hAnsi="Garamond" w:cs="Times New Roman"/>
        </w:rPr>
        <w:t xml:space="preserve">. </w:t>
      </w:r>
      <w:r w:rsidR="002A46A6">
        <w:rPr>
          <w:rFonts w:ascii="Garamond" w:hAnsi="Garamond"/>
        </w:rPr>
        <w:t>We made the decision</w:t>
      </w:r>
      <w:r w:rsidR="005D4962" w:rsidRPr="00B21078">
        <w:rPr>
          <w:rFonts w:ascii="Garamond" w:hAnsi="Garamond"/>
        </w:rPr>
        <w:t xml:space="preserve"> to exclude the names of the</w:t>
      </w:r>
      <w:r w:rsidR="006A1AE4" w:rsidRPr="00B21078">
        <w:rPr>
          <w:rFonts w:ascii="Garamond" w:hAnsi="Garamond"/>
        </w:rPr>
        <w:t xml:space="preserve"> current prime minister and </w:t>
      </w:r>
      <w:r w:rsidR="004104F7">
        <w:rPr>
          <w:rFonts w:ascii="Garamond" w:hAnsi="Garamond"/>
        </w:rPr>
        <w:t>a</w:t>
      </w:r>
      <w:r w:rsidR="00983C1D">
        <w:rPr>
          <w:rFonts w:ascii="Garamond" w:hAnsi="Garamond"/>
        </w:rPr>
        <w:t>rmy chief</w:t>
      </w:r>
      <w:r w:rsidR="005D4962" w:rsidRPr="00B21078">
        <w:rPr>
          <w:rFonts w:ascii="Garamond" w:hAnsi="Garamond"/>
        </w:rPr>
        <w:t xml:space="preserve">, </w:t>
      </w:r>
      <w:r w:rsidR="006A1AE4" w:rsidRPr="00B21078">
        <w:rPr>
          <w:rFonts w:ascii="Garamond" w:hAnsi="Garamond"/>
        </w:rPr>
        <w:t>referring to them instead by</w:t>
      </w:r>
      <w:r w:rsidR="005D4962" w:rsidRPr="00B21078">
        <w:rPr>
          <w:rFonts w:ascii="Garamond" w:hAnsi="Garamond"/>
        </w:rPr>
        <w:t xml:space="preserve"> their titles because at the time the survey was undertaken, then-prime minister </w:t>
      </w:r>
      <w:r w:rsidR="003F7271" w:rsidRPr="00B21078">
        <w:rPr>
          <w:rFonts w:ascii="Garamond" w:hAnsi="Garamond"/>
        </w:rPr>
        <w:t xml:space="preserve">Nawaz Sharif had </w:t>
      </w:r>
      <w:r w:rsidR="006A1AE4" w:rsidRPr="00B21078">
        <w:rPr>
          <w:rFonts w:ascii="Garamond" w:hAnsi="Garamond"/>
        </w:rPr>
        <w:t xml:space="preserve">recently, and unexpectedly, </w:t>
      </w:r>
      <w:r w:rsidR="00952638" w:rsidRPr="00B21078">
        <w:rPr>
          <w:rFonts w:ascii="Garamond" w:hAnsi="Garamond"/>
        </w:rPr>
        <w:t xml:space="preserve">been </w:t>
      </w:r>
      <w:r w:rsidR="003F7271" w:rsidRPr="00B21078">
        <w:rPr>
          <w:rFonts w:ascii="Garamond" w:hAnsi="Garamond"/>
        </w:rPr>
        <w:t>dismissed</w:t>
      </w:r>
      <w:r w:rsidR="00BF0D9B" w:rsidRPr="00B21078">
        <w:rPr>
          <w:rFonts w:ascii="Garamond" w:hAnsi="Garamond"/>
        </w:rPr>
        <w:t xml:space="preserve"> and repla</w:t>
      </w:r>
      <w:r w:rsidR="00F648EC" w:rsidRPr="00B21078">
        <w:rPr>
          <w:rFonts w:ascii="Garamond" w:hAnsi="Garamond"/>
        </w:rPr>
        <w:t xml:space="preserve">ced by a lesser-known </w:t>
      </w:r>
      <w:r w:rsidR="00952638">
        <w:rPr>
          <w:rFonts w:ascii="Garamond" w:hAnsi="Garamond"/>
        </w:rPr>
        <w:t>politician</w:t>
      </w:r>
      <w:r w:rsidR="003F7271" w:rsidRPr="00B21078">
        <w:rPr>
          <w:rFonts w:ascii="Garamond" w:hAnsi="Garamond"/>
        </w:rPr>
        <w:t xml:space="preserve">. </w:t>
      </w:r>
      <w:r w:rsidR="00C601C9">
        <w:rPr>
          <w:rFonts w:ascii="Garamond" w:hAnsi="Garamond"/>
        </w:rPr>
        <w:t xml:space="preserve">In addition, </w:t>
      </w:r>
      <w:r w:rsidR="00F648EC" w:rsidRPr="00B21078">
        <w:rPr>
          <w:rFonts w:ascii="Garamond" w:hAnsi="Garamond"/>
        </w:rPr>
        <w:t xml:space="preserve">our </w:t>
      </w:r>
      <w:r w:rsidR="00C9741F" w:rsidRPr="00B21078">
        <w:rPr>
          <w:rFonts w:ascii="Garamond" w:hAnsi="Garamond"/>
        </w:rPr>
        <w:t>experiment was not conce</w:t>
      </w:r>
      <w:r w:rsidR="00F03EC5" w:rsidRPr="00B21078">
        <w:rPr>
          <w:rFonts w:ascii="Garamond" w:hAnsi="Garamond"/>
        </w:rPr>
        <w:t xml:space="preserve">rned with the identities of individual leaders but rather with the difference between support for military and civilian </w:t>
      </w:r>
      <w:r w:rsidR="00C22DAC" w:rsidRPr="00B21078">
        <w:rPr>
          <w:rFonts w:ascii="Garamond" w:hAnsi="Garamond"/>
        </w:rPr>
        <w:t>foreign policy decision</w:t>
      </w:r>
      <w:r w:rsidR="00C0002B" w:rsidRPr="00B21078">
        <w:rPr>
          <w:rFonts w:ascii="Garamond" w:hAnsi="Garamond"/>
        </w:rPr>
        <w:t xml:space="preserve"> generally</w:t>
      </w:r>
      <w:r w:rsidR="00793FDD" w:rsidRPr="00B21078">
        <w:rPr>
          <w:rFonts w:ascii="Garamond" w:hAnsi="Garamond"/>
        </w:rPr>
        <w:t xml:space="preserve">, </w:t>
      </w:r>
      <w:r w:rsidR="00C601C9">
        <w:rPr>
          <w:rFonts w:ascii="Garamond" w:hAnsi="Garamond"/>
        </w:rPr>
        <w:t xml:space="preserve">and thus, </w:t>
      </w:r>
      <w:r w:rsidR="00793FDD" w:rsidRPr="00B21078">
        <w:rPr>
          <w:rFonts w:ascii="Garamond" w:hAnsi="Garamond"/>
        </w:rPr>
        <w:t xml:space="preserve">we do not anticipate that this </w:t>
      </w:r>
      <w:r w:rsidR="00EC10C4" w:rsidRPr="00B21078">
        <w:rPr>
          <w:rFonts w:ascii="Garamond" w:hAnsi="Garamond"/>
        </w:rPr>
        <w:t xml:space="preserve">had any impact on </w:t>
      </w:r>
      <w:r w:rsidR="00494F19" w:rsidRPr="00B21078">
        <w:rPr>
          <w:rFonts w:ascii="Garamond" w:hAnsi="Garamond"/>
        </w:rPr>
        <w:t xml:space="preserve">the way in which the treatment was received. </w:t>
      </w:r>
      <w:r w:rsidR="00793FDD" w:rsidRPr="00B21078">
        <w:rPr>
          <w:rFonts w:ascii="Garamond" w:hAnsi="Garamond"/>
        </w:rPr>
        <w:t xml:space="preserve">  </w:t>
      </w:r>
      <w:r w:rsidR="00F03EC5" w:rsidRPr="00B21078">
        <w:rPr>
          <w:rFonts w:ascii="Garamond" w:hAnsi="Garamond"/>
        </w:rPr>
        <w:t xml:space="preserve"> </w:t>
      </w:r>
    </w:p>
    <w:p w14:paraId="07DB854A" w14:textId="7432E941" w:rsidR="00B560D4" w:rsidRPr="00B21078" w:rsidRDefault="000828FD" w:rsidP="0009296A">
      <w:pPr>
        <w:spacing w:line="480" w:lineRule="auto"/>
        <w:ind w:firstLine="720"/>
        <w:rPr>
          <w:rFonts w:ascii="Garamond" w:hAnsi="Garamond"/>
        </w:rPr>
      </w:pPr>
      <w:r w:rsidRPr="00B21078">
        <w:rPr>
          <w:rFonts w:ascii="Garamond" w:hAnsi="Garamond"/>
        </w:rPr>
        <w:t xml:space="preserve">The dependent variable was measured on a Likert scale of 1-7 with </w:t>
      </w:r>
      <w:r w:rsidR="00080B7A">
        <w:rPr>
          <w:rFonts w:ascii="Garamond" w:hAnsi="Garamond"/>
        </w:rPr>
        <w:t>1 indicating “completely oppose”, 7 “completely support,” and 4 “neither support nor oppose</w:t>
      </w:r>
      <w:r w:rsidR="00745A8D">
        <w:rPr>
          <w:rFonts w:ascii="Garamond" w:hAnsi="Garamond"/>
        </w:rPr>
        <w:t>.</w:t>
      </w:r>
      <w:r w:rsidR="00080B7A">
        <w:rPr>
          <w:rFonts w:ascii="Garamond" w:hAnsi="Garamond"/>
        </w:rPr>
        <w:t>”</w:t>
      </w:r>
      <w:r w:rsidRPr="00B21078">
        <w:rPr>
          <w:rFonts w:ascii="Garamond" w:hAnsi="Garamond"/>
        </w:rPr>
        <w:t xml:space="preserve"> </w:t>
      </w:r>
      <w:r w:rsidR="003F2FBC">
        <w:rPr>
          <w:rFonts w:ascii="Garamond" w:hAnsi="Garamond"/>
        </w:rPr>
        <w:t>C</w:t>
      </w:r>
      <w:r w:rsidR="001C60DE" w:rsidRPr="00B21078">
        <w:rPr>
          <w:rFonts w:ascii="Garamond" w:hAnsi="Garamond"/>
        </w:rPr>
        <w:t>onsistent with other recent experimental work</w:t>
      </w:r>
      <w:r w:rsidR="003F2FBC">
        <w:rPr>
          <w:rFonts w:ascii="Garamond" w:hAnsi="Garamond"/>
        </w:rPr>
        <w:t xml:space="preserve"> </w:t>
      </w:r>
      <w:r w:rsidR="00745A8D">
        <w:rPr>
          <w:rFonts w:ascii="Garamond" w:hAnsi="Garamond"/>
        </w:rPr>
        <w:t>on public opinion and conflict</w:t>
      </w:r>
      <w:r w:rsidR="00894BBC">
        <w:rPr>
          <w:rFonts w:ascii="Garamond" w:hAnsi="Garamond"/>
        </w:rPr>
        <w:t>,</w:t>
      </w:r>
      <w:r w:rsidR="00745A8D">
        <w:rPr>
          <w:rFonts w:ascii="Garamond" w:hAnsi="Garamond"/>
        </w:rPr>
        <w:t xml:space="preserve"> </w:t>
      </w:r>
      <w:r w:rsidR="003F2FBC">
        <w:rPr>
          <w:rFonts w:ascii="Garamond" w:hAnsi="Garamond"/>
        </w:rPr>
        <w:t xml:space="preserve">we report results based on </w:t>
      </w:r>
      <w:r w:rsidR="00745A8D">
        <w:rPr>
          <w:rFonts w:ascii="Garamond" w:hAnsi="Garamond"/>
        </w:rPr>
        <w:t>a dichotomous measure of support</w:t>
      </w:r>
      <w:r w:rsidR="00915E5A">
        <w:rPr>
          <w:rFonts w:ascii="Garamond" w:hAnsi="Garamond"/>
        </w:rPr>
        <w:t xml:space="preserve"> for ease of interpretation</w:t>
      </w:r>
      <w:r w:rsidR="00745A8D">
        <w:rPr>
          <w:rFonts w:ascii="Garamond" w:hAnsi="Garamond"/>
        </w:rPr>
        <w:t>, in this case</w:t>
      </w:r>
      <w:r w:rsidR="00BF6CAB">
        <w:rPr>
          <w:rFonts w:ascii="Garamond" w:hAnsi="Garamond"/>
        </w:rPr>
        <w:t>,</w:t>
      </w:r>
      <w:r w:rsidR="00745A8D">
        <w:rPr>
          <w:rFonts w:ascii="Garamond" w:hAnsi="Garamond"/>
        </w:rPr>
        <w:t xml:space="preserve"> all respondents offering </w:t>
      </w:r>
      <w:r w:rsidR="001306AE">
        <w:rPr>
          <w:rFonts w:ascii="Garamond" w:hAnsi="Garamond"/>
        </w:rPr>
        <w:t xml:space="preserve">support (scores of </w:t>
      </w:r>
      <w:r w:rsidR="00745A8D">
        <w:rPr>
          <w:rFonts w:ascii="Garamond" w:hAnsi="Garamond"/>
        </w:rPr>
        <w:t>5, 6, or 7</w:t>
      </w:r>
      <w:r w:rsidR="001306AE">
        <w:rPr>
          <w:rFonts w:ascii="Garamond" w:hAnsi="Garamond"/>
        </w:rPr>
        <w:t>)</w:t>
      </w:r>
      <w:r w:rsidR="00B94D09">
        <w:rPr>
          <w:rFonts w:ascii="Garamond" w:hAnsi="Garamond"/>
        </w:rPr>
        <w:t>.</w:t>
      </w:r>
      <w:r w:rsidR="00B94D09">
        <w:rPr>
          <w:rStyle w:val="FootnoteReference"/>
          <w:rFonts w:ascii="Garamond" w:hAnsi="Garamond"/>
        </w:rPr>
        <w:footnoteReference w:id="10"/>
      </w:r>
      <w:r w:rsidR="001C60DE" w:rsidRPr="00B21078">
        <w:rPr>
          <w:rFonts w:ascii="Garamond" w:hAnsi="Garamond"/>
        </w:rPr>
        <w:t xml:space="preserve"> </w:t>
      </w:r>
      <w:r w:rsidR="003620EC" w:rsidRPr="00B21078">
        <w:rPr>
          <w:rFonts w:ascii="Garamond" w:hAnsi="Garamond"/>
        </w:rPr>
        <w:t xml:space="preserve">Demographic details were collected </w:t>
      </w:r>
      <w:r w:rsidR="00CE57EB" w:rsidRPr="00B21078">
        <w:rPr>
          <w:rFonts w:ascii="Garamond" w:hAnsi="Garamond"/>
        </w:rPr>
        <w:t xml:space="preserve">at the end of the survey. </w:t>
      </w:r>
      <w:r w:rsidR="00DA20D3" w:rsidRPr="00B21078">
        <w:rPr>
          <w:rFonts w:ascii="Garamond" w:hAnsi="Garamond"/>
        </w:rPr>
        <w:t xml:space="preserve"> </w:t>
      </w:r>
      <w:r w:rsidR="00AB5CE8" w:rsidRPr="00B21078">
        <w:rPr>
          <w:rFonts w:ascii="Garamond" w:hAnsi="Garamond"/>
        </w:rPr>
        <w:t xml:space="preserve"> </w:t>
      </w:r>
      <w:r w:rsidR="00960776" w:rsidRPr="00B21078">
        <w:rPr>
          <w:rFonts w:ascii="Garamond" w:hAnsi="Garamond"/>
        </w:rPr>
        <w:t xml:space="preserve"> </w:t>
      </w:r>
      <w:r w:rsidR="000D154A" w:rsidRPr="00B21078">
        <w:rPr>
          <w:rFonts w:ascii="Garamond" w:hAnsi="Garamond"/>
        </w:rPr>
        <w:tab/>
      </w:r>
    </w:p>
    <w:p w14:paraId="766AC5ED" w14:textId="77777777" w:rsidR="00465A84" w:rsidRPr="00B21078" w:rsidRDefault="00465A84" w:rsidP="00A15016">
      <w:pPr>
        <w:rPr>
          <w:rFonts w:ascii="Garamond" w:hAnsi="Garamond"/>
        </w:rPr>
      </w:pPr>
    </w:p>
    <w:p w14:paraId="155BE21A" w14:textId="23F90D59" w:rsidR="001514E5" w:rsidRPr="00B21078" w:rsidRDefault="001514E5" w:rsidP="00A15016">
      <w:pPr>
        <w:pStyle w:val="ListParagraph"/>
        <w:numPr>
          <w:ilvl w:val="0"/>
          <w:numId w:val="1"/>
        </w:numPr>
        <w:tabs>
          <w:tab w:val="left" w:pos="720"/>
        </w:tabs>
        <w:ind w:left="1170" w:hanging="1170"/>
        <w:rPr>
          <w:rFonts w:ascii="Garamond" w:hAnsi="Garamond"/>
          <w:b/>
        </w:rPr>
      </w:pPr>
      <w:r w:rsidRPr="00B21078">
        <w:rPr>
          <w:rFonts w:ascii="Garamond" w:hAnsi="Garamond"/>
          <w:b/>
        </w:rPr>
        <w:t xml:space="preserve">Experimental Results </w:t>
      </w:r>
    </w:p>
    <w:p w14:paraId="0AE7E22D" w14:textId="77777777" w:rsidR="001514E5" w:rsidRPr="00B21078" w:rsidRDefault="001514E5">
      <w:pPr>
        <w:pStyle w:val="ListParagraph"/>
        <w:ind w:left="0"/>
        <w:rPr>
          <w:rFonts w:ascii="Garamond" w:hAnsi="Garamond"/>
          <w:b/>
        </w:rPr>
      </w:pPr>
    </w:p>
    <w:p w14:paraId="401A46FA" w14:textId="21D22DAE" w:rsidR="003624CF" w:rsidRPr="00B21078" w:rsidRDefault="000F4313" w:rsidP="0009296A">
      <w:pPr>
        <w:spacing w:line="480" w:lineRule="auto"/>
        <w:ind w:firstLine="720"/>
        <w:rPr>
          <w:rFonts w:ascii="Garamond" w:hAnsi="Garamond"/>
        </w:rPr>
      </w:pPr>
      <w:r w:rsidRPr="00B21078">
        <w:rPr>
          <w:rFonts w:ascii="Garamond" w:hAnsi="Garamond"/>
        </w:rPr>
        <w:t xml:space="preserve">The survey experimental results </w:t>
      </w:r>
      <w:r w:rsidR="0030011B">
        <w:rPr>
          <w:rFonts w:ascii="Garamond" w:hAnsi="Garamond"/>
        </w:rPr>
        <w:t>present</w:t>
      </w:r>
      <w:r w:rsidR="0030011B" w:rsidRPr="00B21078">
        <w:rPr>
          <w:rFonts w:ascii="Garamond" w:hAnsi="Garamond"/>
        </w:rPr>
        <w:t xml:space="preserve"> </w:t>
      </w:r>
      <w:r w:rsidR="006C2992" w:rsidRPr="00B21078">
        <w:rPr>
          <w:rFonts w:ascii="Garamond" w:hAnsi="Garamond"/>
        </w:rPr>
        <w:t xml:space="preserve">evidence </w:t>
      </w:r>
      <w:r w:rsidR="00161A3B" w:rsidRPr="00B21078">
        <w:rPr>
          <w:rFonts w:ascii="Garamond" w:hAnsi="Garamond"/>
        </w:rPr>
        <w:t xml:space="preserve">in favor of three findings. First, </w:t>
      </w:r>
      <w:r w:rsidR="003624CF" w:rsidRPr="00B21078">
        <w:rPr>
          <w:rFonts w:ascii="Garamond" w:hAnsi="Garamond"/>
        </w:rPr>
        <w:t>Pakistani citizens support escalatory over de-es</w:t>
      </w:r>
      <w:r w:rsidR="0030011B">
        <w:rPr>
          <w:rFonts w:ascii="Garamond" w:hAnsi="Garamond"/>
        </w:rPr>
        <w:t>c</w:t>
      </w:r>
      <w:r w:rsidR="001306AE">
        <w:rPr>
          <w:rFonts w:ascii="Garamond" w:hAnsi="Garamond"/>
        </w:rPr>
        <w:t>alatory policies, even when tho</w:t>
      </w:r>
      <w:r w:rsidR="00E81DBB">
        <w:rPr>
          <w:rFonts w:ascii="Garamond" w:hAnsi="Garamond"/>
        </w:rPr>
        <w:t>se</w:t>
      </w:r>
      <w:r w:rsidR="001306AE">
        <w:rPr>
          <w:rFonts w:ascii="Garamond" w:hAnsi="Garamond"/>
        </w:rPr>
        <w:t xml:space="preserve"> policies would</w:t>
      </w:r>
      <w:r w:rsidR="003624CF" w:rsidRPr="00B21078">
        <w:rPr>
          <w:rFonts w:ascii="Garamond" w:hAnsi="Garamond"/>
        </w:rPr>
        <w:t xml:space="preserve"> result in the death</w:t>
      </w:r>
      <w:r w:rsidR="00AE3B9E">
        <w:rPr>
          <w:rFonts w:ascii="Garamond" w:hAnsi="Garamond"/>
        </w:rPr>
        <w:t>s</w:t>
      </w:r>
      <w:r w:rsidR="003624CF" w:rsidRPr="00B21078">
        <w:rPr>
          <w:rFonts w:ascii="Garamond" w:hAnsi="Garamond"/>
        </w:rPr>
        <w:t xml:space="preserve"> of Pa</w:t>
      </w:r>
      <w:r w:rsidR="00161A3B" w:rsidRPr="00B21078">
        <w:rPr>
          <w:rFonts w:ascii="Garamond" w:hAnsi="Garamond"/>
        </w:rPr>
        <w:t>kistani soldiers. Second,</w:t>
      </w:r>
      <w:r w:rsidR="003624CF" w:rsidRPr="00B21078">
        <w:rPr>
          <w:rFonts w:ascii="Garamond" w:hAnsi="Garamond"/>
        </w:rPr>
        <w:t xml:space="preserve"> the</w:t>
      </w:r>
      <w:r w:rsidR="00371603" w:rsidRPr="00B21078">
        <w:rPr>
          <w:rFonts w:ascii="Garamond" w:hAnsi="Garamond"/>
        </w:rPr>
        <w:t xml:space="preserve"> military or civilian</w:t>
      </w:r>
      <w:r w:rsidR="00710B1B" w:rsidRPr="00B21078">
        <w:rPr>
          <w:rFonts w:ascii="Garamond" w:hAnsi="Garamond"/>
        </w:rPr>
        <w:t xml:space="preserve"> </w:t>
      </w:r>
      <w:r w:rsidRPr="00B21078">
        <w:rPr>
          <w:rFonts w:ascii="Garamond" w:hAnsi="Garamond"/>
        </w:rPr>
        <w:t xml:space="preserve">identity of the </w:t>
      </w:r>
      <w:r w:rsidR="00F325E7" w:rsidRPr="00B21078">
        <w:rPr>
          <w:rFonts w:ascii="Garamond" w:hAnsi="Garamond"/>
        </w:rPr>
        <w:t xml:space="preserve">leader making foreign policy decisions </w:t>
      </w:r>
      <w:r w:rsidR="00CA5BE4">
        <w:rPr>
          <w:rFonts w:ascii="Garamond" w:hAnsi="Garamond"/>
        </w:rPr>
        <w:t>a</w:t>
      </w:r>
      <w:r w:rsidR="00314D6A" w:rsidRPr="00B21078">
        <w:rPr>
          <w:rFonts w:ascii="Garamond" w:hAnsi="Garamond"/>
        </w:rPr>
        <w:t xml:space="preserve">ffects support for that decision, but asymmetrically in garnering greater support </w:t>
      </w:r>
      <w:r w:rsidR="00C210F4">
        <w:rPr>
          <w:rFonts w:ascii="Garamond" w:hAnsi="Garamond"/>
        </w:rPr>
        <w:t>for</w:t>
      </w:r>
      <w:r w:rsidR="00C210F4" w:rsidRPr="00B21078">
        <w:rPr>
          <w:rFonts w:ascii="Garamond" w:hAnsi="Garamond"/>
        </w:rPr>
        <w:t xml:space="preserve"> </w:t>
      </w:r>
      <w:r w:rsidR="00314D6A" w:rsidRPr="00B21078">
        <w:rPr>
          <w:rFonts w:ascii="Garamond" w:hAnsi="Garamond"/>
        </w:rPr>
        <w:lastRenderedPageBreak/>
        <w:t>military leaders in favor of escalation. T</w:t>
      </w:r>
      <w:r w:rsidR="00161A3B" w:rsidRPr="00B21078">
        <w:rPr>
          <w:rFonts w:ascii="Garamond" w:hAnsi="Garamond"/>
        </w:rPr>
        <w:t>hird,</w:t>
      </w:r>
      <w:r w:rsidR="00371603" w:rsidRPr="00B21078">
        <w:rPr>
          <w:rFonts w:ascii="Garamond" w:hAnsi="Garamond"/>
        </w:rPr>
        <w:t xml:space="preserve"> </w:t>
      </w:r>
      <w:r w:rsidR="00891131" w:rsidRPr="00B21078">
        <w:rPr>
          <w:rFonts w:ascii="Garamond" w:hAnsi="Garamond"/>
        </w:rPr>
        <w:t xml:space="preserve">providing a reason for </w:t>
      </w:r>
      <w:r w:rsidR="000000FC" w:rsidRPr="00B21078">
        <w:rPr>
          <w:rFonts w:ascii="Garamond" w:hAnsi="Garamond"/>
        </w:rPr>
        <w:t xml:space="preserve">de-escalation can increase support for </w:t>
      </w:r>
      <w:r w:rsidR="00314D6A" w:rsidRPr="00B21078">
        <w:rPr>
          <w:rFonts w:ascii="Garamond" w:hAnsi="Garamond"/>
        </w:rPr>
        <w:t>such a</w:t>
      </w:r>
      <w:r w:rsidR="000000FC" w:rsidRPr="00B21078">
        <w:rPr>
          <w:rFonts w:ascii="Garamond" w:hAnsi="Garamond"/>
        </w:rPr>
        <w:t xml:space="preserve"> policy</w:t>
      </w:r>
      <w:r w:rsidR="00802ACE" w:rsidRPr="00B21078">
        <w:rPr>
          <w:rFonts w:ascii="Garamond" w:hAnsi="Garamond"/>
        </w:rPr>
        <w:t xml:space="preserve"> relative to no explanation. </w:t>
      </w:r>
      <w:r w:rsidR="00161A3B" w:rsidRPr="00B21078">
        <w:rPr>
          <w:rFonts w:ascii="Garamond" w:hAnsi="Garamond"/>
        </w:rPr>
        <w:t>Each</w:t>
      </w:r>
      <w:r w:rsidR="00E81DBB">
        <w:rPr>
          <w:rFonts w:ascii="Garamond" w:hAnsi="Garamond"/>
        </w:rPr>
        <w:t xml:space="preserve"> of these findings</w:t>
      </w:r>
      <w:r w:rsidR="00161A3B" w:rsidRPr="00B21078">
        <w:rPr>
          <w:rFonts w:ascii="Garamond" w:hAnsi="Garamond"/>
        </w:rPr>
        <w:t xml:space="preserve"> is discussed in turn. </w:t>
      </w:r>
    </w:p>
    <w:p w14:paraId="12654111" w14:textId="24A0D74C" w:rsidR="00FE1442" w:rsidRPr="00B21078" w:rsidRDefault="0064271F" w:rsidP="0009296A">
      <w:pPr>
        <w:spacing w:line="480" w:lineRule="auto"/>
        <w:ind w:firstLine="720"/>
        <w:rPr>
          <w:rFonts w:ascii="Garamond" w:hAnsi="Garamond"/>
        </w:rPr>
      </w:pPr>
      <w:r w:rsidRPr="00B21078">
        <w:rPr>
          <w:rFonts w:ascii="Garamond" w:hAnsi="Garamond"/>
        </w:rPr>
        <w:t xml:space="preserve">First, </w:t>
      </w:r>
      <w:r w:rsidR="00B90020" w:rsidRPr="00B21078">
        <w:rPr>
          <w:rFonts w:ascii="Garamond" w:hAnsi="Garamond"/>
        </w:rPr>
        <w:t xml:space="preserve">we find that </w:t>
      </w:r>
      <w:r w:rsidR="00F14D3F" w:rsidRPr="00B21078">
        <w:rPr>
          <w:rFonts w:ascii="Garamond" w:hAnsi="Garamond"/>
        </w:rPr>
        <w:t xml:space="preserve">Pakistani </w:t>
      </w:r>
      <w:r w:rsidR="00B90020" w:rsidRPr="00B21078">
        <w:rPr>
          <w:rFonts w:ascii="Garamond" w:hAnsi="Garamond"/>
        </w:rPr>
        <w:t>respondents are significantly more likely</w:t>
      </w:r>
      <w:r w:rsidR="00C846EA" w:rsidRPr="00B21078">
        <w:rPr>
          <w:rFonts w:ascii="Garamond" w:hAnsi="Garamond"/>
        </w:rPr>
        <w:t>—</w:t>
      </w:r>
      <w:r w:rsidR="00DA666B" w:rsidRPr="00B21078">
        <w:rPr>
          <w:rFonts w:ascii="Garamond" w:hAnsi="Garamond"/>
        </w:rPr>
        <w:t>statistically</w:t>
      </w:r>
      <w:r w:rsidR="00C846EA" w:rsidRPr="00B21078">
        <w:rPr>
          <w:rFonts w:ascii="Garamond" w:hAnsi="Garamond"/>
        </w:rPr>
        <w:t xml:space="preserve"> and substantively—</w:t>
      </w:r>
      <w:r w:rsidR="00B90020" w:rsidRPr="00B21078">
        <w:rPr>
          <w:rFonts w:ascii="Garamond" w:hAnsi="Garamond"/>
        </w:rPr>
        <w:t xml:space="preserve">to </w:t>
      </w:r>
      <w:r w:rsidR="00F14D3F" w:rsidRPr="00B21078">
        <w:rPr>
          <w:rFonts w:ascii="Garamond" w:hAnsi="Garamond"/>
        </w:rPr>
        <w:t>prefer that their leaders</w:t>
      </w:r>
      <w:r w:rsidR="00DA666B" w:rsidRPr="00B21078">
        <w:rPr>
          <w:rFonts w:ascii="Garamond" w:hAnsi="Garamond"/>
        </w:rPr>
        <w:t xml:space="preserve"> </w:t>
      </w:r>
      <w:r w:rsidR="00F14D3F" w:rsidRPr="00B21078">
        <w:rPr>
          <w:rFonts w:ascii="Garamond" w:hAnsi="Garamond"/>
        </w:rPr>
        <w:t xml:space="preserve">take action against </w:t>
      </w:r>
      <w:r w:rsidR="00DA666B" w:rsidRPr="00B21078">
        <w:rPr>
          <w:rFonts w:ascii="Garamond" w:hAnsi="Garamond"/>
        </w:rPr>
        <w:t xml:space="preserve">India in response to </w:t>
      </w:r>
      <w:r w:rsidR="004E7240" w:rsidRPr="00B21078">
        <w:rPr>
          <w:rFonts w:ascii="Garamond" w:hAnsi="Garamond"/>
        </w:rPr>
        <w:t xml:space="preserve">any instigation. This is the case </w:t>
      </w:r>
      <w:r w:rsidR="00D42562" w:rsidRPr="00B21078">
        <w:rPr>
          <w:rFonts w:ascii="Garamond" w:hAnsi="Garamond"/>
        </w:rPr>
        <w:t xml:space="preserve">regardless of </w:t>
      </w:r>
      <w:r w:rsidR="00463427" w:rsidRPr="00B21078">
        <w:rPr>
          <w:rFonts w:ascii="Garamond" w:hAnsi="Garamond"/>
        </w:rPr>
        <w:t>whether the leader is military or civilian, or whether a</w:t>
      </w:r>
      <w:r w:rsidR="003E325E" w:rsidRPr="00B21078">
        <w:rPr>
          <w:rFonts w:ascii="Garamond" w:hAnsi="Garamond"/>
        </w:rPr>
        <w:t>ny</w:t>
      </w:r>
      <w:r w:rsidR="00463427" w:rsidRPr="00B21078">
        <w:rPr>
          <w:rFonts w:ascii="Garamond" w:hAnsi="Garamond"/>
        </w:rPr>
        <w:t xml:space="preserve"> reason is provided for de-escalation. </w:t>
      </w:r>
      <w:r w:rsidR="00AD520A" w:rsidRPr="00B21078">
        <w:rPr>
          <w:rFonts w:ascii="Garamond" w:hAnsi="Garamond"/>
        </w:rPr>
        <w:t>On the one hand</w:t>
      </w:r>
      <w:r w:rsidR="00400AE6" w:rsidRPr="00B21078">
        <w:rPr>
          <w:rFonts w:ascii="Garamond" w:hAnsi="Garamond"/>
        </w:rPr>
        <w:t>, thi</w:t>
      </w:r>
      <w:r w:rsidR="00AD520A" w:rsidRPr="00B21078">
        <w:rPr>
          <w:rFonts w:ascii="Garamond" w:hAnsi="Garamond"/>
        </w:rPr>
        <w:t>s may not seem surprising given</w:t>
      </w:r>
      <w:r w:rsidR="00400AE6" w:rsidRPr="00B21078">
        <w:rPr>
          <w:rFonts w:ascii="Garamond" w:hAnsi="Garamond"/>
        </w:rPr>
        <w:t xml:space="preserve"> that a large </w:t>
      </w:r>
      <w:r w:rsidR="004952D7" w:rsidRPr="00B21078">
        <w:rPr>
          <w:rFonts w:ascii="Garamond" w:hAnsi="Garamond"/>
        </w:rPr>
        <w:t xml:space="preserve">percentage of respondents </w:t>
      </w:r>
      <w:r w:rsidR="00A377CA">
        <w:rPr>
          <w:rFonts w:ascii="Garamond" w:hAnsi="Garamond"/>
        </w:rPr>
        <w:t xml:space="preserve">in our survey </w:t>
      </w:r>
      <w:r w:rsidR="004952D7" w:rsidRPr="00B21078">
        <w:rPr>
          <w:rFonts w:ascii="Garamond" w:hAnsi="Garamond"/>
        </w:rPr>
        <w:t xml:space="preserve">believed </w:t>
      </w:r>
      <w:r w:rsidR="00BF6CAB">
        <w:rPr>
          <w:rFonts w:ascii="Garamond" w:hAnsi="Garamond"/>
        </w:rPr>
        <w:t xml:space="preserve">that </w:t>
      </w:r>
      <w:r w:rsidR="004952D7" w:rsidRPr="00B21078">
        <w:rPr>
          <w:rFonts w:ascii="Garamond" w:hAnsi="Garamond"/>
        </w:rPr>
        <w:t xml:space="preserve">Pakistan should treat India like an enemy rather than a friend (51%) and the vast majority considered India </w:t>
      </w:r>
      <w:r w:rsidR="00AD520A" w:rsidRPr="00B21078">
        <w:rPr>
          <w:rFonts w:ascii="Garamond" w:hAnsi="Garamond"/>
        </w:rPr>
        <w:t xml:space="preserve">either a very serious or somewhat serious threat (83%). However, because retaliation </w:t>
      </w:r>
      <w:r w:rsidR="00A377CA">
        <w:rPr>
          <w:rFonts w:ascii="Garamond" w:hAnsi="Garamond"/>
        </w:rPr>
        <w:t xml:space="preserve">in our vignette </w:t>
      </w:r>
      <w:r w:rsidR="00AD520A" w:rsidRPr="00B21078">
        <w:rPr>
          <w:rFonts w:ascii="Garamond" w:hAnsi="Garamond"/>
        </w:rPr>
        <w:t>result</w:t>
      </w:r>
      <w:r w:rsidR="00F15B1B">
        <w:rPr>
          <w:rFonts w:ascii="Garamond" w:hAnsi="Garamond"/>
        </w:rPr>
        <w:t>ed</w:t>
      </w:r>
      <w:r w:rsidR="00AD520A" w:rsidRPr="00B21078">
        <w:rPr>
          <w:rFonts w:ascii="Garamond" w:hAnsi="Garamond"/>
        </w:rPr>
        <w:t xml:space="preserve"> in the death of </w:t>
      </w:r>
      <w:r w:rsidR="00B94D09">
        <w:rPr>
          <w:rFonts w:ascii="Garamond" w:hAnsi="Garamond"/>
        </w:rPr>
        <w:t>five</w:t>
      </w:r>
      <w:r w:rsidR="00B94D09" w:rsidRPr="00B21078">
        <w:rPr>
          <w:rFonts w:ascii="Garamond" w:hAnsi="Garamond"/>
        </w:rPr>
        <w:t xml:space="preserve"> </w:t>
      </w:r>
      <w:r w:rsidR="00AD520A" w:rsidRPr="00B21078">
        <w:rPr>
          <w:rFonts w:ascii="Garamond" w:hAnsi="Garamond"/>
        </w:rPr>
        <w:t xml:space="preserve">Pakistani soldiers, we may have nonetheless expected that </w:t>
      </w:r>
      <w:r w:rsidR="006A42B7" w:rsidRPr="00B21078">
        <w:rPr>
          <w:rFonts w:ascii="Garamond" w:hAnsi="Garamond"/>
        </w:rPr>
        <w:t xml:space="preserve">respondents would have tempered their support for </w:t>
      </w:r>
      <w:r w:rsidR="00D921DA" w:rsidRPr="00B21078">
        <w:rPr>
          <w:rFonts w:ascii="Garamond" w:hAnsi="Garamond"/>
        </w:rPr>
        <w:t>action against India.</w:t>
      </w:r>
      <w:r w:rsidR="00302942" w:rsidRPr="00B21078">
        <w:rPr>
          <w:rFonts w:ascii="Garamond" w:hAnsi="Garamond"/>
        </w:rPr>
        <w:t xml:space="preserve"> </w:t>
      </w:r>
      <w:r w:rsidR="00417990">
        <w:rPr>
          <w:rFonts w:ascii="Garamond" w:hAnsi="Garamond"/>
        </w:rPr>
        <w:t>After all</w:t>
      </w:r>
      <w:r w:rsidR="00F15B1B">
        <w:rPr>
          <w:rFonts w:ascii="Garamond" w:hAnsi="Garamond"/>
        </w:rPr>
        <w:t>,</w:t>
      </w:r>
      <w:r w:rsidR="00417990">
        <w:rPr>
          <w:rFonts w:ascii="Garamond" w:hAnsi="Garamond"/>
        </w:rPr>
        <w:t xml:space="preserve"> there are more dead Pakistanis in the escalatory conditions than in the de-escalatory conditions, only in the escalatory conditions their deaths are </w:t>
      </w:r>
      <w:r w:rsidR="00605386">
        <w:rPr>
          <w:rFonts w:ascii="Garamond" w:hAnsi="Garamond"/>
        </w:rPr>
        <w:t xml:space="preserve">offset </w:t>
      </w:r>
      <w:r w:rsidR="00417990">
        <w:rPr>
          <w:rFonts w:ascii="Garamond" w:hAnsi="Garamond"/>
        </w:rPr>
        <w:t xml:space="preserve">by the deaths of 10 Indians. </w:t>
      </w:r>
    </w:p>
    <w:p w14:paraId="074F9B69" w14:textId="05183F28" w:rsidR="001A26B6" w:rsidRPr="00B21078" w:rsidRDefault="00314D6A" w:rsidP="0009296A">
      <w:pPr>
        <w:spacing w:line="480" w:lineRule="auto"/>
        <w:ind w:firstLine="720"/>
        <w:rPr>
          <w:rFonts w:ascii="Garamond" w:hAnsi="Garamond"/>
        </w:rPr>
      </w:pPr>
      <w:r w:rsidRPr="00B21078">
        <w:rPr>
          <w:rFonts w:ascii="Garamond" w:hAnsi="Garamond"/>
        </w:rPr>
        <w:t xml:space="preserve">Figure 1 </w:t>
      </w:r>
      <w:r w:rsidR="001A26B6" w:rsidRPr="00B21078">
        <w:rPr>
          <w:rFonts w:ascii="Garamond" w:hAnsi="Garamond"/>
        </w:rPr>
        <w:t xml:space="preserve">shows the distribution of responses across all treatment conditions. As evident, escalatory decisions taken by either the prime minister or </w:t>
      </w:r>
      <w:r w:rsidR="007123C4">
        <w:rPr>
          <w:rFonts w:ascii="Garamond" w:hAnsi="Garamond"/>
        </w:rPr>
        <w:t>a</w:t>
      </w:r>
      <w:r w:rsidR="00983C1D">
        <w:rPr>
          <w:rFonts w:ascii="Garamond" w:hAnsi="Garamond"/>
        </w:rPr>
        <w:t>rmy chief</w:t>
      </w:r>
      <w:r w:rsidR="001A26B6" w:rsidRPr="00B21078">
        <w:rPr>
          <w:rFonts w:ascii="Garamond" w:hAnsi="Garamond"/>
        </w:rPr>
        <w:t xml:space="preserve"> received the most support</w:t>
      </w:r>
      <w:r w:rsidR="002D71E6" w:rsidRPr="00B21078">
        <w:rPr>
          <w:rFonts w:ascii="Garamond" w:hAnsi="Garamond"/>
        </w:rPr>
        <w:t xml:space="preserve"> followed by those in which the prime minister offered a justification for de-escalating. Decisions by either the </w:t>
      </w:r>
      <w:r w:rsidR="007123C4">
        <w:rPr>
          <w:rFonts w:ascii="Garamond" w:hAnsi="Garamond"/>
        </w:rPr>
        <w:t>a</w:t>
      </w:r>
      <w:r w:rsidR="00983C1D">
        <w:rPr>
          <w:rFonts w:ascii="Garamond" w:hAnsi="Garamond"/>
        </w:rPr>
        <w:t>rmy chief</w:t>
      </w:r>
      <w:r w:rsidR="002D71E6" w:rsidRPr="00B21078">
        <w:rPr>
          <w:rFonts w:ascii="Garamond" w:hAnsi="Garamond"/>
        </w:rPr>
        <w:t xml:space="preserve"> or prime minister to de-escalate received the least support of any conditions presented in the experiment. </w:t>
      </w:r>
    </w:p>
    <w:p w14:paraId="14784ECE" w14:textId="7177962B" w:rsidR="00417990" w:rsidRDefault="00080B7A" w:rsidP="0009296A">
      <w:pPr>
        <w:spacing w:line="480" w:lineRule="auto"/>
        <w:rPr>
          <w:rFonts w:ascii="Garamond" w:hAnsi="Garamond"/>
        </w:rPr>
      </w:pPr>
      <w:r w:rsidRPr="00080B7A">
        <w:rPr>
          <w:rFonts w:ascii="Garamond" w:hAnsi="Garamond"/>
          <w:noProof/>
        </w:rPr>
        <w:lastRenderedPageBreak/>
        <w:drawing>
          <wp:inline distT="0" distB="0" distL="0" distR="0" wp14:anchorId="13C8ED0E" wp14:editId="1BD8653E">
            <wp:extent cx="5910349" cy="42984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7798" cy="4318399"/>
                    </a:xfrm>
                    <a:prstGeom prst="rect">
                      <a:avLst/>
                    </a:prstGeom>
                  </pic:spPr>
                </pic:pic>
              </a:graphicData>
            </a:graphic>
          </wp:inline>
        </w:drawing>
      </w:r>
    </w:p>
    <w:p w14:paraId="225392E2" w14:textId="7BE5B994" w:rsidR="00314D6A" w:rsidRPr="00B21078" w:rsidRDefault="002D71E6" w:rsidP="0009296A">
      <w:pPr>
        <w:spacing w:line="480" w:lineRule="auto"/>
        <w:ind w:firstLine="720"/>
        <w:rPr>
          <w:rFonts w:ascii="Garamond" w:hAnsi="Garamond"/>
        </w:rPr>
      </w:pPr>
      <w:r w:rsidRPr="00B21078">
        <w:rPr>
          <w:rFonts w:ascii="Garamond" w:hAnsi="Garamond"/>
        </w:rPr>
        <w:t xml:space="preserve">Figure 2 shows the </w:t>
      </w:r>
      <w:r w:rsidR="001A26B6" w:rsidRPr="00B21078">
        <w:rPr>
          <w:rFonts w:ascii="Garamond" w:hAnsi="Garamond"/>
        </w:rPr>
        <w:t xml:space="preserve">difference in means </w:t>
      </w:r>
      <w:r w:rsidRPr="00B21078">
        <w:rPr>
          <w:rFonts w:ascii="Garamond" w:hAnsi="Garamond"/>
        </w:rPr>
        <w:t xml:space="preserve">between the condition in which the </w:t>
      </w:r>
      <w:r w:rsidR="00953FFE">
        <w:rPr>
          <w:rFonts w:ascii="Garamond" w:hAnsi="Garamond"/>
        </w:rPr>
        <w:t>p</w:t>
      </w:r>
      <w:r w:rsidRPr="00B21078">
        <w:rPr>
          <w:rFonts w:ascii="Garamond" w:hAnsi="Garamond"/>
        </w:rPr>
        <w:t xml:space="preserve">rime </w:t>
      </w:r>
      <w:r w:rsidR="00953FFE">
        <w:rPr>
          <w:rFonts w:ascii="Garamond" w:hAnsi="Garamond"/>
        </w:rPr>
        <w:t>m</w:t>
      </w:r>
      <w:r w:rsidRPr="00B21078">
        <w:rPr>
          <w:rFonts w:ascii="Garamond" w:hAnsi="Garamond"/>
        </w:rPr>
        <w:t>inister opted to de-escalate without justific</w:t>
      </w:r>
      <w:r w:rsidR="00B94D09">
        <w:rPr>
          <w:rFonts w:ascii="Garamond" w:hAnsi="Garamond"/>
        </w:rPr>
        <w:t>a</w:t>
      </w:r>
      <w:r w:rsidRPr="00B21078">
        <w:rPr>
          <w:rFonts w:ascii="Garamond" w:hAnsi="Garamond"/>
        </w:rPr>
        <w:t xml:space="preserve">tion (the reference case) and all other conditions. As Figure 2 demonstrates, decisions to escalate are substantially more popular than those to de-escalate, no matter what justification </w:t>
      </w:r>
      <w:r w:rsidR="00CA5BE4">
        <w:rPr>
          <w:rFonts w:ascii="Garamond" w:hAnsi="Garamond"/>
        </w:rPr>
        <w:t xml:space="preserve">is </w:t>
      </w:r>
      <w:r w:rsidRPr="00B21078">
        <w:rPr>
          <w:rFonts w:ascii="Garamond" w:hAnsi="Garamond"/>
        </w:rPr>
        <w:t xml:space="preserve">offered for de-escalation or whether the prime minister or </w:t>
      </w:r>
      <w:r w:rsidR="00983C1D">
        <w:rPr>
          <w:rFonts w:ascii="Garamond" w:hAnsi="Garamond"/>
        </w:rPr>
        <w:t xml:space="preserve">army chief </w:t>
      </w:r>
      <w:r w:rsidRPr="00B21078">
        <w:rPr>
          <w:rFonts w:ascii="Garamond" w:hAnsi="Garamond"/>
        </w:rPr>
        <w:t xml:space="preserve">explained de-escalation. </w:t>
      </w:r>
    </w:p>
    <w:p w14:paraId="655C45DB" w14:textId="56DA6BD6" w:rsidR="001A26B6" w:rsidRPr="00B21078" w:rsidRDefault="007D0AE9" w:rsidP="0009296A">
      <w:pPr>
        <w:spacing w:line="480" w:lineRule="auto"/>
        <w:rPr>
          <w:rFonts w:ascii="Garamond" w:hAnsi="Garamond"/>
        </w:rPr>
      </w:pPr>
      <w:r w:rsidRPr="007D0AE9">
        <w:rPr>
          <w:rFonts w:ascii="Garamond" w:hAnsi="Garamond"/>
          <w:noProof/>
        </w:rPr>
        <w:lastRenderedPageBreak/>
        <w:drawing>
          <wp:inline distT="0" distB="0" distL="0" distR="0" wp14:anchorId="773F6099" wp14:editId="20560E36">
            <wp:extent cx="5735782" cy="4171478"/>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4529" cy="4185112"/>
                    </a:xfrm>
                    <a:prstGeom prst="rect">
                      <a:avLst/>
                    </a:prstGeom>
                  </pic:spPr>
                </pic:pic>
              </a:graphicData>
            </a:graphic>
          </wp:inline>
        </w:drawing>
      </w:r>
    </w:p>
    <w:p w14:paraId="39586E5B" w14:textId="7BD11A90" w:rsidR="002A4B31" w:rsidRPr="00B21078" w:rsidRDefault="00FE1442" w:rsidP="0009296A">
      <w:pPr>
        <w:spacing w:line="480" w:lineRule="auto"/>
        <w:ind w:firstLine="720"/>
        <w:rPr>
          <w:rFonts w:ascii="Garamond" w:hAnsi="Garamond"/>
        </w:rPr>
      </w:pPr>
      <w:r w:rsidRPr="00B21078">
        <w:rPr>
          <w:rFonts w:ascii="Garamond" w:hAnsi="Garamond"/>
        </w:rPr>
        <w:t xml:space="preserve">Second, </w:t>
      </w:r>
      <w:r w:rsidR="0064271F" w:rsidRPr="00B21078">
        <w:rPr>
          <w:rFonts w:ascii="Garamond" w:hAnsi="Garamond"/>
        </w:rPr>
        <w:t xml:space="preserve">we found that </w:t>
      </w:r>
      <w:r w:rsidR="00B93990" w:rsidRPr="00B21078">
        <w:rPr>
          <w:rFonts w:ascii="Garamond" w:hAnsi="Garamond"/>
        </w:rPr>
        <w:t xml:space="preserve">respondents were </w:t>
      </w:r>
      <w:r w:rsidR="002D71E6" w:rsidRPr="00B21078">
        <w:rPr>
          <w:rFonts w:ascii="Garamond" w:hAnsi="Garamond"/>
        </w:rPr>
        <w:t>no more likely to support military leaders that de-escalated than they were civilian leaders that did so.</w:t>
      </w:r>
      <w:r w:rsidR="00430D77" w:rsidRPr="00B21078">
        <w:rPr>
          <w:rFonts w:ascii="Garamond" w:hAnsi="Garamond"/>
        </w:rPr>
        <w:t xml:space="preserve"> </w:t>
      </w:r>
      <w:r w:rsidR="002D71E6" w:rsidRPr="00B21078">
        <w:rPr>
          <w:rFonts w:ascii="Garamond" w:hAnsi="Garamond"/>
        </w:rPr>
        <w:t xml:space="preserve">Failure to accord the military deference on de-escalation appears contrary to theories that posit </w:t>
      </w:r>
      <w:r w:rsidR="00417990">
        <w:rPr>
          <w:rFonts w:ascii="Garamond" w:hAnsi="Garamond"/>
        </w:rPr>
        <w:t>the military will have policy credibility in their area of professional competence</w:t>
      </w:r>
      <w:r w:rsidR="002D71E6" w:rsidRPr="00B21078">
        <w:rPr>
          <w:rFonts w:ascii="Garamond" w:hAnsi="Garamond"/>
        </w:rPr>
        <w:t xml:space="preserve">. While slightly more respondents supported a decision by the </w:t>
      </w:r>
      <w:r w:rsidR="00983C1D">
        <w:rPr>
          <w:rFonts w:ascii="Garamond" w:hAnsi="Garamond"/>
        </w:rPr>
        <w:t>army chief</w:t>
      </w:r>
      <w:r w:rsidR="002D71E6" w:rsidRPr="00B21078">
        <w:rPr>
          <w:rFonts w:ascii="Garamond" w:hAnsi="Garamond"/>
        </w:rPr>
        <w:t xml:space="preserve"> to de-escalate (45%) than a similar decision by the </w:t>
      </w:r>
      <w:r w:rsidR="00953FFE">
        <w:rPr>
          <w:rFonts w:ascii="Garamond" w:hAnsi="Garamond"/>
        </w:rPr>
        <w:t>p</w:t>
      </w:r>
      <w:r w:rsidR="002D71E6" w:rsidRPr="00B21078">
        <w:rPr>
          <w:rFonts w:ascii="Garamond" w:hAnsi="Garamond"/>
        </w:rPr>
        <w:t xml:space="preserve">rime </w:t>
      </w:r>
      <w:r w:rsidR="00953FFE">
        <w:rPr>
          <w:rFonts w:ascii="Garamond" w:hAnsi="Garamond"/>
        </w:rPr>
        <w:t>m</w:t>
      </w:r>
      <w:r w:rsidR="002D71E6" w:rsidRPr="00B21078">
        <w:rPr>
          <w:rFonts w:ascii="Garamond" w:hAnsi="Garamond"/>
        </w:rPr>
        <w:t>inister (40%) that diff</w:t>
      </w:r>
      <w:r w:rsidR="007D0AE9">
        <w:rPr>
          <w:rFonts w:ascii="Garamond" w:hAnsi="Garamond"/>
        </w:rPr>
        <w:t xml:space="preserve">erence was substantively small </w:t>
      </w:r>
      <w:r w:rsidR="002D71E6" w:rsidRPr="00B21078">
        <w:rPr>
          <w:rFonts w:ascii="Garamond" w:hAnsi="Garamond"/>
        </w:rPr>
        <w:t>and statistically indistinguishable from zero (p=</w:t>
      </w:r>
      <w:r w:rsidR="00953FFE">
        <w:rPr>
          <w:rFonts w:ascii="Garamond" w:hAnsi="Garamond"/>
        </w:rPr>
        <w:t>0</w:t>
      </w:r>
      <w:r w:rsidR="002D71E6" w:rsidRPr="00B21078">
        <w:rPr>
          <w:rFonts w:ascii="Garamond" w:hAnsi="Garamond"/>
        </w:rPr>
        <w:t>.1</w:t>
      </w:r>
      <w:r w:rsidR="007D0AE9">
        <w:rPr>
          <w:rFonts w:ascii="Garamond" w:hAnsi="Garamond"/>
        </w:rPr>
        <w:t>5</w:t>
      </w:r>
      <w:r w:rsidR="002D71E6" w:rsidRPr="00B21078">
        <w:rPr>
          <w:rFonts w:ascii="Garamond" w:hAnsi="Garamond"/>
        </w:rPr>
        <w:t>). In contrast, a greater percentage of respondents supported a decision by the</w:t>
      </w:r>
      <w:r w:rsidR="00B852B8">
        <w:rPr>
          <w:rFonts w:ascii="Garamond" w:hAnsi="Garamond"/>
        </w:rPr>
        <w:t xml:space="preserve"> </w:t>
      </w:r>
      <w:r w:rsidR="00983C1D">
        <w:rPr>
          <w:rFonts w:ascii="Garamond" w:hAnsi="Garamond"/>
        </w:rPr>
        <w:t>army chief</w:t>
      </w:r>
      <w:r w:rsidR="002D71E6" w:rsidRPr="00B21078">
        <w:rPr>
          <w:rFonts w:ascii="Garamond" w:hAnsi="Garamond"/>
        </w:rPr>
        <w:t xml:space="preserve"> to escalate (74%) than supported the same decision by the Prime Minister (64%), a substantively meaningful and statistically significant (p&lt;.001)</w:t>
      </w:r>
      <w:r w:rsidR="00967E54" w:rsidRPr="00B21078">
        <w:rPr>
          <w:rFonts w:ascii="Garamond" w:hAnsi="Garamond"/>
        </w:rPr>
        <w:t xml:space="preserve"> difference. </w:t>
      </w:r>
      <w:r w:rsidR="00417990">
        <w:rPr>
          <w:rFonts w:ascii="Garamond" w:hAnsi="Garamond"/>
        </w:rPr>
        <w:t xml:space="preserve">This suggests </w:t>
      </w:r>
      <w:r w:rsidR="00272AED">
        <w:rPr>
          <w:rFonts w:ascii="Garamond" w:hAnsi="Garamond"/>
        </w:rPr>
        <w:t xml:space="preserve">that </w:t>
      </w:r>
      <w:r w:rsidR="00417990">
        <w:rPr>
          <w:rFonts w:ascii="Garamond" w:hAnsi="Garamond"/>
        </w:rPr>
        <w:t xml:space="preserve">any additional public support the Army may garner as a result of its major decisions may be conditional on whether such decisions accord with </w:t>
      </w:r>
      <w:r w:rsidR="00417990">
        <w:rPr>
          <w:rFonts w:ascii="Garamond" w:hAnsi="Garamond"/>
        </w:rPr>
        <w:lastRenderedPageBreak/>
        <w:t xml:space="preserve">hawkish voter preferences, indicating that the Pakistan military may be somewhat captive to public desires. </w:t>
      </w:r>
    </w:p>
    <w:p w14:paraId="1E86E725" w14:textId="15CC745E" w:rsidR="00F4367E" w:rsidRDefault="0082196B" w:rsidP="0009296A">
      <w:pPr>
        <w:spacing w:line="480" w:lineRule="auto"/>
        <w:ind w:firstLine="720"/>
        <w:rPr>
          <w:rFonts w:ascii="Garamond" w:hAnsi="Garamond"/>
        </w:rPr>
      </w:pPr>
      <w:r w:rsidRPr="00B21078">
        <w:rPr>
          <w:rFonts w:ascii="Garamond" w:hAnsi="Garamond"/>
        </w:rPr>
        <w:t>Third</w:t>
      </w:r>
      <w:r w:rsidR="002A4B31" w:rsidRPr="00B21078">
        <w:rPr>
          <w:rFonts w:ascii="Garamond" w:hAnsi="Garamond"/>
        </w:rPr>
        <w:t xml:space="preserve">, we </w:t>
      </w:r>
      <w:r w:rsidR="00A21E17" w:rsidRPr="00B21078">
        <w:rPr>
          <w:rFonts w:ascii="Garamond" w:hAnsi="Garamond"/>
        </w:rPr>
        <w:t>find that the inclusion of a justification—whether nuclear or economic—</w:t>
      </w:r>
      <w:r w:rsidR="002A4B31" w:rsidRPr="00B21078">
        <w:rPr>
          <w:rFonts w:ascii="Garamond" w:hAnsi="Garamond"/>
        </w:rPr>
        <w:t>for de-escalation</w:t>
      </w:r>
      <w:r w:rsidR="00A21E17" w:rsidRPr="00B21078">
        <w:rPr>
          <w:rFonts w:ascii="Garamond" w:hAnsi="Garamond"/>
        </w:rPr>
        <w:t xml:space="preserve"> </w:t>
      </w:r>
      <w:r w:rsidR="00A21E17" w:rsidRPr="00B21078">
        <w:rPr>
          <w:rFonts w:ascii="Garamond" w:hAnsi="Garamond"/>
          <w:i/>
        </w:rPr>
        <w:t xml:space="preserve">does </w:t>
      </w:r>
      <w:r w:rsidR="00A21E17" w:rsidRPr="00B21078">
        <w:rPr>
          <w:rFonts w:ascii="Garamond" w:hAnsi="Garamond"/>
        </w:rPr>
        <w:t xml:space="preserve">increase support for </w:t>
      </w:r>
      <w:r w:rsidR="00417990">
        <w:rPr>
          <w:rFonts w:ascii="Garamond" w:hAnsi="Garamond"/>
        </w:rPr>
        <w:t>such a</w:t>
      </w:r>
      <w:r w:rsidR="00417990" w:rsidRPr="00B21078">
        <w:rPr>
          <w:rFonts w:ascii="Garamond" w:hAnsi="Garamond"/>
        </w:rPr>
        <w:t xml:space="preserve"> </w:t>
      </w:r>
      <w:r w:rsidR="00A21E17" w:rsidRPr="00B21078">
        <w:rPr>
          <w:rFonts w:ascii="Garamond" w:hAnsi="Garamond"/>
        </w:rPr>
        <w:t>decision</w:t>
      </w:r>
      <w:r w:rsidR="002A4B31" w:rsidRPr="00B21078">
        <w:rPr>
          <w:rFonts w:ascii="Garamond" w:hAnsi="Garamond"/>
        </w:rPr>
        <w:t xml:space="preserve">. </w:t>
      </w:r>
      <w:r w:rsidR="00F47CED" w:rsidRPr="00B21078">
        <w:rPr>
          <w:rFonts w:ascii="Garamond" w:hAnsi="Garamond"/>
        </w:rPr>
        <w:t xml:space="preserve">This finding </w:t>
      </w:r>
      <w:r w:rsidR="00417990">
        <w:rPr>
          <w:rFonts w:ascii="Garamond" w:hAnsi="Garamond"/>
        </w:rPr>
        <w:t>is consistent with past</w:t>
      </w:r>
      <w:r w:rsidR="00417990" w:rsidRPr="00B21078">
        <w:rPr>
          <w:rFonts w:ascii="Garamond" w:hAnsi="Garamond"/>
        </w:rPr>
        <w:t xml:space="preserve"> </w:t>
      </w:r>
      <w:r w:rsidR="003B16F2" w:rsidRPr="00B21078">
        <w:rPr>
          <w:rFonts w:ascii="Garamond" w:hAnsi="Garamond"/>
        </w:rPr>
        <w:t xml:space="preserve">research that </w:t>
      </w:r>
      <w:r w:rsidR="00417990">
        <w:rPr>
          <w:rFonts w:ascii="Garamond" w:hAnsi="Garamond"/>
        </w:rPr>
        <w:t xml:space="preserve">finds </w:t>
      </w:r>
      <w:r w:rsidR="00AC0057">
        <w:rPr>
          <w:rFonts w:ascii="Garamond" w:hAnsi="Garamond"/>
        </w:rPr>
        <w:t xml:space="preserve">that </w:t>
      </w:r>
      <w:r w:rsidR="003B16F2" w:rsidRPr="00B21078">
        <w:rPr>
          <w:rFonts w:ascii="Garamond" w:hAnsi="Garamond"/>
        </w:rPr>
        <w:t xml:space="preserve">when leaders, who have more information than their publics, </w:t>
      </w:r>
      <w:r w:rsidR="002A4B31" w:rsidRPr="00B21078">
        <w:rPr>
          <w:rFonts w:ascii="Garamond" w:hAnsi="Garamond"/>
        </w:rPr>
        <w:t>explain their decision in the context of that information, publics generate fewer audience costs</w:t>
      </w:r>
      <w:r w:rsidR="00DE5BC7">
        <w:rPr>
          <w:rFonts w:ascii="Garamond" w:hAnsi="Garamond"/>
        </w:rPr>
        <w:t xml:space="preserve"> (</w:t>
      </w:r>
      <w:r w:rsidR="00DE5BC7" w:rsidRPr="0057038A">
        <w:rPr>
          <w:rFonts w:ascii="Garamond" w:hAnsi="Garamond"/>
        </w:rPr>
        <w:t>Levendusky and Horowitz 2012</w:t>
      </w:r>
      <w:r w:rsidR="00DE5BC7">
        <w:rPr>
          <w:rFonts w:ascii="Garamond" w:hAnsi="Garamond"/>
        </w:rPr>
        <w:t>)</w:t>
      </w:r>
      <w:r w:rsidR="00207049" w:rsidRPr="00B21078">
        <w:rPr>
          <w:rFonts w:ascii="Garamond" w:hAnsi="Garamond"/>
        </w:rPr>
        <w:t xml:space="preserve">. </w:t>
      </w:r>
      <w:r w:rsidR="00670D82" w:rsidRPr="00B21078">
        <w:rPr>
          <w:rFonts w:ascii="Garamond" w:hAnsi="Garamond"/>
        </w:rPr>
        <w:t>We found no difference</w:t>
      </w:r>
      <w:r w:rsidR="00BC140F">
        <w:rPr>
          <w:rFonts w:ascii="Garamond" w:hAnsi="Garamond"/>
        </w:rPr>
        <w:t xml:space="preserve"> </w:t>
      </w:r>
      <w:r w:rsidR="00670D82" w:rsidRPr="00B21078">
        <w:rPr>
          <w:rFonts w:ascii="Garamond" w:hAnsi="Garamond"/>
        </w:rPr>
        <w:t xml:space="preserve">between the </w:t>
      </w:r>
      <w:r w:rsidR="00242AEF" w:rsidRPr="00B21078">
        <w:rPr>
          <w:rFonts w:ascii="Garamond" w:hAnsi="Garamond"/>
          <w:i/>
        </w:rPr>
        <w:t xml:space="preserve">type </w:t>
      </w:r>
      <w:r w:rsidR="00242AEF" w:rsidRPr="00B21078">
        <w:rPr>
          <w:rFonts w:ascii="Garamond" w:hAnsi="Garamond"/>
        </w:rPr>
        <w:t xml:space="preserve">of </w:t>
      </w:r>
      <w:r w:rsidR="002A14B9" w:rsidRPr="00B21078">
        <w:rPr>
          <w:rFonts w:ascii="Garamond" w:hAnsi="Garamond"/>
        </w:rPr>
        <w:t>justification</w:t>
      </w:r>
      <w:r w:rsidR="00242AEF" w:rsidRPr="00B21078">
        <w:rPr>
          <w:rFonts w:ascii="Garamond" w:hAnsi="Garamond"/>
        </w:rPr>
        <w:t xml:space="preserve"> provided. That is, </w:t>
      </w:r>
      <w:r w:rsidR="002A14B9" w:rsidRPr="00B21078">
        <w:rPr>
          <w:rFonts w:ascii="Garamond" w:hAnsi="Garamond"/>
        </w:rPr>
        <w:t xml:space="preserve">respondents were equally likely to support the de-escalation decision regardless of whether it emphasized economic cost or </w:t>
      </w:r>
      <w:r w:rsidR="00A401AE" w:rsidRPr="00B21078">
        <w:rPr>
          <w:rFonts w:ascii="Garamond" w:hAnsi="Garamond"/>
        </w:rPr>
        <w:t xml:space="preserve">referenced the possibility of nuclear war. We had theoretical bases to support both directions of this effect. While the </w:t>
      </w:r>
      <w:r w:rsidR="00BC140F">
        <w:rPr>
          <w:rFonts w:ascii="Garamond" w:hAnsi="Garamond"/>
        </w:rPr>
        <w:t>harm war can inflict on economies is easily understood</w:t>
      </w:r>
      <w:r w:rsidR="00A401AE" w:rsidRPr="00B21078">
        <w:rPr>
          <w:rFonts w:ascii="Garamond" w:hAnsi="Garamond"/>
        </w:rPr>
        <w:t xml:space="preserve"> and is typically </w:t>
      </w:r>
      <w:r w:rsidR="00BC140F">
        <w:rPr>
          <w:rFonts w:ascii="Garamond" w:hAnsi="Garamond"/>
        </w:rPr>
        <w:t>perceived</w:t>
      </w:r>
      <w:r w:rsidR="00A401AE" w:rsidRPr="00B21078">
        <w:rPr>
          <w:rFonts w:ascii="Garamond" w:hAnsi="Garamond"/>
        </w:rPr>
        <w:t xml:space="preserve"> as dampening the likelihood of war</w:t>
      </w:r>
      <w:r w:rsidR="00DE5BC7">
        <w:rPr>
          <w:rFonts w:ascii="Garamond" w:hAnsi="Garamond"/>
        </w:rPr>
        <w:t xml:space="preserve"> (</w:t>
      </w:r>
      <w:r w:rsidR="00DE5BC7" w:rsidRPr="0057038A">
        <w:rPr>
          <w:rFonts w:ascii="Garamond" w:hAnsi="Garamond"/>
        </w:rPr>
        <w:t>Angell 1910; Brooks 2005</w:t>
      </w:r>
      <w:r w:rsidR="00DE5BC7">
        <w:rPr>
          <w:rFonts w:ascii="Garamond" w:hAnsi="Garamond"/>
        </w:rPr>
        <w:t>)</w:t>
      </w:r>
      <w:r w:rsidR="00A401AE" w:rsidRPr="00B21078">
        <w:rPr>
          <w:rFonts w:ascii="Garamond" w:hAnsi="Garamond"/>
        </w:rPr>
        <w:t>, there is a perception that the danger of nuclear war acts as a stronger deterrent to initiating serious conflict</w:t>
      </w:r>
      <w:r w:rsidR="00DE5BC7">
        <w:rPr>
          <w:rFonts w:ascii="Garamond" w:hAnsi="Garamond"/>
        </w:rPr>
        <w:t xml:space="preserve"> (</w:t>
      </w:r>
      <w:r w:rsidR="00DE5BC7" w:rsidRPr="0057038A">
        <w:rPr>
          <w:rFonts w:ascii="Garamond" w:hAnsi="Garamond"/>
        </w:rPr>
        <w:t>Waltz 1981; Jervis 1989</w:t>
      </w:r>
      <w:r w:rsidR="00DE5BC7">
        <w:rPr>
          <w:rFonts w:ascii="Garamond" w:hAnsi="Garamond"/>
        </w:rPr>
        <w:t>)</w:t>
      </w:r>
      <w:r w:rsidR="00160B3C">
        <w:rPr>
          <w:rFonts w:ascii="Garamond" w:hAnsi="Garamond"/>
        </w:rPr>
        <w:t>.</w:t>
      </w:r>
      <w:r w:rsidR="00A401AE" w:rsidRPr="00B21078">
        <w:rPr>
          <w:rFonts w:ascii="Garamond" w:hAnsi="Garamond"/>
        </w:rPr>
        <w:t xml:space="preserve"> </w:t>
      </w:r>
      <w:r w:rsidR="00145767" w:rsidRPr="00B21078">
        <w:rPr>
          <w:rFonts w:ascii="Garamond" w:hAnsi="Garamond"/>
        </w:rPr>
        <w:t xml:space="preserve">However, </w:t>
      </w:r>
      <w:r w:rsidR="00FA0C0F" w:rsidRPr="00B21078">
        <w:rPr>
          <w:rFonts w:ascii="Garamond" w:hAnsi="Garamond"/>
        </w:rPr>
        <w:t>studies</w:t>
      </w:r>
      <w:r w:rsidR="00145767" w:rsidRPr="00B21078">
        <w:rPr>
          <w:rFonts w:ascii="Garamond" w:hAnsi="Garamond"/>
        </w:rPr>
        <w:t xml:space="preserve"> have</w:t>
      </w:r>
      <w:r w:rsidR="00FA0C0F" w:rsidRPr="00B21078">
        <w:rPr>
          <w:rFonts w:ascii="Garamond" w:hAnsi="Garamond"/>
        </w:rPr>
        <w:t xml:space="preserve"> also</w:t>
      </w:r>
      <w:r w:rsidR="00145767" w:rsidRPr="00B21078">
        <w:rPr>
          <w:rFonts w:ascii="Garamond" w:hAnsi="Garamond"/>
        </w:rPr>
        <w:t xml:space="preserve"> shown that constituents in democracies prioritize economic performance over other issues, including international crises and war, when making electoral decisions</w:t>
      </w:r>
      <w:r w:rsidR="00DE5BC7">
        <w:rPr>
          <w:rFonts w:ascii="Garamond" w:hAnsi="Garamond"/>
        </w:rPr>
        <w:t xml:space="preserve"> (</w:t>
      </w:r>
      <w:r w:rsidR="00DE5BC7" w:rsidRPr="0057038A">
        <w:rPr>
          <w:rFonts w:ascii="Garamond" w:hAnsi="Garamond"/>
        </w:rPr>
        <w:t>Wilkin, Haller, and Norpoth 1997; Lewis-Beck and Stegmaier 2000</w:t>
      </w:r>
      <w:r w:rsidR="00DE5BC7">
        <w:rPr>
          <w:rFonts w:ascii="Garamond" w:hAnsi="Garamond"/>
        </w:rPr>
        <w:t>)</w:t>
      </w:r>
      <w:r w:rsidR="0094034D">
        <w:rPr>
          <w:rFonts w:ascii="Garamond" w:hAnsi="Garamond"/>
        </w:rPr>
        <w:t>.</w:t>
      </w:r>
      <w:r w:rsidR="00BC140F">
        <w:rPr>
          <w:rFonts w:ascii="Garamond" w:hAnsi="Garamond"/>
        </w:rPr>
        <w:t xml:space="preserve"> </w:t>
      </w:r>
      <w:r w:rsidR="00967E54" w:rsidRPr="00B21078">
        <w:rPr>
          <w:rFonts w:ascii="Garamond" w:hAnsi="Garamond"/>
        </w:rPr>
        <w:t xml:space="preserve">Despite the </w:t>
      </w:r>
      <w:r w:rsidR="00BC140F">
        <w:rPr>
          <w:rFonts w:ascii="Garamond" w:hAnsi="Garamond"/>
        </w:rPr>
        <w:t xml:space="preserve">potential </w:t>
      </w:r>
      <w:r w:rsidR="00967E54" w:rsidRPr="00B21078">
        <w:rPr>
          <w:rFonts w:ascii="Garamond" w:hAnsi="Garamond"/>
        </w:rPr>
        <w:t xml:space="preserve">consequences of war </w:t>
      </w:r>
      <w:r w:rsidR="00AC0057">
        <w:rPr>
          <w:rFonts w:ascii="Garamond" w:hAnsi="Garamond"/>
        </w:rPr>
        <w:t>on</w:t>
      </w:r>
      <w:r w:rsidR="00AC0057" w:rsidRPr="00B21078">
        <w:rPr>
          <w:rFonts w:ascii="Garamond" w:hAnsi="Garamond"/>
        </w:rPr>
        <w:t xml:space="preserve"> </w:t>
      </w:r>
      <w:r w:rsidR="00967E54" w:rsidRPr="00B21078">
        <w:rPr>
          <w:rFonts w:ascii="Garamond" w:hAnsi="Garamond"/>
        </w:rPr>
        <w:t>Pakistani economic well-being and</w:t>
      </w:r>
      <w:r w:rsidR="00AC0057">
        <w:rPr>
          <w:rFonts w:ascii="Garamond" w:hAnsi="Garamond"/>
        </w:rPr>
        <w:t>—</w:t>
      </w:r>
      <w:r w:rsidR="00967E54" w:rsidRPr="00B21078">
        <w:rPr>
          <w:rFonts w:ascii="Garamond" w:hAnsi="Garamond"/>
        </w:rPr>
        <w:t xml:space="preserve">given </w:t>
      </w:r>
      <w:r w:rsidR="00076845">
        <w:rPr>
          <w:rFonts w:ascii="Garamond" w:hAnsi="Garamond"/>
        </w:rPr>
        <w:t xml:space="preserve">the involvement of </w:t>
      </w:r>
      <w:r w:rsidR="00967E54" w:rsidRPr="00B21078">
        <w:rPr>
          <w:rFonts w:ascii="Garamond" w:hAnsi="Garamond"/>
        </w:rPr>
        <w:t>nuclear weapons</w:t>
      </w:r>
      <w:r w:rsidR="00AC0057">
        <w:rPr>
          <w:rFonts w:ascii="Garamond" w:hAnsi="Garamond"/>
        </w:rPr>
        <w:t>—</w:t>
      </w:r>
      <w:r w:rsidR="00967E54" w:rsidRPr="00B21078">
        <w:rPr>
          <w:rFonts w:ascii="Garamond" w:hAnsi="Garamond"/>
        </w:rPr>
        <w:t>national survival, it is notable that these justifications still generated support for de-escalation at levels substantially lower than either escalatory condition. Only half of respondents support</w:t>
      </w:r>
      <w:r w:rsidR="00E00885">
        <w:rPr>
          <w:rFonts w:ascii="Garamond" w:hAnsi="Garamond"/>
        </w:rPr>
        <w:t>ed</w:t>
      </w:r>
      <w:r w:rsidR="00967E54" w:rsidRPr="00B21078">
        <w:rPr>
          <w:rFonts w:ascii="Garamond" w:hAnsi="Garamond"/>
        </w:rPr>
        <w:t xml:space="preserve"> de-escalation when a justification was provided </w:t>
      </w:r>
      <w:r w:rsidR="00BC140F">
        <w:rPr>
          <w:rFonts w:ascii="Garamond" w:hAnsi="Garamond"/>
        </w:rPr>
        <w:t xml:space="preserve">by the prime minister </w:t>
      </w:r>
      <w:r w:rsidR="00967E54" w:rsidRPr="00B21078">
        <w:rPr>
          <w:rFonts w:ascii="Garamond" w:hAnsi="Garamond"/>
        </w:rPr>
        <w:t xml:space="preserve">compared to </w:t>
      </w:r>
      <w:r w:rsidR="00BC140F">
        <w:rPr>
          <w:rFonts w:ascii="Garamond" w:hAnsi="Garamond"/>
        </w:rPr>
        <w:t>the over 60</w:t>
      </w:r>
      <w:r w:rsidR="00967E54" w:rsidRPr="00B21078">
        <w:rPr>
          <w:rFonts w:ascii="Garamond" w:hAnsi="Garamond"/>
        </w:rPr>
        <w:t xml:space="preserve"> </w:t>
      </w:r>
      <w:r w:rsidR="00A26D5A">
        <w:rPr>
          <w:rFonts w:ascii="Garamond" w:hAnsi="Garamond"/>
        </w:rPr>
        <w:t xml:space="preserve">percent </w:t>
      </w:r>
      <w:r w:rsidR="00BC140F">
        <w:rPr>
          <w:rFonts w:ascii="Garamond" w:hAnsi="Garamond"/>
        </w:rPr>
        <w:t>of respondents that support an escalatory decision by the prime minister</w:t>
      </w:r>
      <w:r w:rsidR="00967E54" w:rsidRPr="00B21078">
        <w:rPr>
          <w:rFonts w:ascii="Garamond" w:hAnsi="Garamond"/>
        </w:rPr>
        <w:t xml:space="preserve">. </w:t>
      </w:r>
    </w:p>
    <w:p w14:paraId="4DBD2814" w14:textId="13D989A8" w:rsidR="00D952C6" w:rsidRPr="00B21078" w:rsidRDefault="00417990" w:rsidP="0009296A">
      <w:pPr>
        <w:spacing w:line="480" w:lineRule="auto"/>
        <w:ind w:firstLine="720"/>
        <w:rPr>
          <w:rFonts w:ascii="Garamond" w:hAnsi="Garamond"/>
        </w:rPr>
      </w:pPr>
      <w:r>
        <w:rPr>
          <w:rFonts w:ascii="Garamond" w:hAnsi="Garamond"/>
        </w:rPr>
        <w:t xml:space="preserve">It is an open question as to how enduring this escalatory preference would be if Pakistan’s tit-for-tat raid led to greater escalation and prolonged active hostilities. Yet in making an escalatory decision, it is still meaningful to know what benefit politicians or military leaders would accrue from tit-for-tat violence if they could </w:t>
      </w:r>
      <w:r w:rsidR="00907092">
        <w:rPr>
          <w:rFonts w:ascii="Garamond" w:hAnsi="Garamond"/>
        </w:rPr>
        <w:t>“</w:t>
      </w:r>
      <w:r>
        <w:rPr>
          <w:rFonts w:ascii="Garamond" w:hAnsi="Garamond"/>
        </w:rPr>
        <w:t>get away with it.</w:t>
      </w:r>
      <w:r w:rsidR="00907092">
        <w:rPr>
          <w:rFonts w:ascii="Garamond" w:hAnsi="Garamond"/>
        </w:rPr>
        <w:t>”</w:t>
      </w:r>
      <w:r>
        <w:rPr>
          <w:rFonts w:ascii="Garamond" w:hAnsi="Garamond"/>
        </w:rPr>
        <w:t xml:space="preserve"> The fact that there are public opinion benefits to </w:t>
      </w:r>
      <w:r>
        <w:rPr>
          <w:rFonts w:ascii="Garamond" w:hAnsi="Garamond"/>
        </w:rPr>
        <w:lastRenderedPageBreak/>
        <w:t>a Pakistani retaliatory strike help</w:t>
      </w:r>
      <w:r w:rsidR="00CF5A69">
        <w:rPr>
          <w:rFonts w:ascii="Garamond" w:hAnsi="Garamond"/>
        </w:rPr>
        <w:t>s</w:t>
      </w:r>
      <w:r>
        <w:rPr>
          <w:rFonts w:ascii="Garamond" w:hAnsi="Garamond"/>
        </w:rPr>
        <w:t xml:space="preserve"> us assess one payoff amidst a broader probability distribution of possible Indian responses. At a minimum</w:t>
      </w:r>
      <w:r w:rsidR="00CF5A69">
        <w:rPr>
          <w:rFonts w:ascii="Garamond" w:hAnsi="Garamond"/>
        </w:rPr>
        <w:t>,</w:t>
      </w:r>
      <w:r>
        <w:rPr>
          <w:rFonts w:ascii="Garamond" w:hAnsi="Garamond"/>
        </w:rPr>
        <w:t xml:space="preserve"> our results show that the Pakistani public </w:t>
      </w:r>
      <w:r w:rsidR="00CF5A69">
        <w:rPr>
          <w:rFonts w:ascii="Garamond" w:hAnsi="Garamond"/>
        </w:rPr>
        <w:t>is</w:t>
      </w:r>
      <w:r>
        <w:rPr>
          <w:rFonts w:ascii="Garamond" w:hAnsi="Garamond"/>
        </w:rPr>
        <w:t xml:space="preserve"> willing to support the further escalation of conflict even at the cost of additional Pakistani lives </w:t>
      </w:r>
      <w:r w:rsidR="00B936B3">
        <w:rPr>
          <w:rFonts w:ascii="Garamond" w:hAnsi="Garamond"/>
        </w:rPr>
        <w:t>as</w:t>
      </w:r>
      <w:r>
        <w:rPr>
          <w:rFonts w:ascii="Garamond" w:hAnsi="Garamond"/>
        </w:rPr>
        <w:t xml:space="preserve"> long as costs are</w:t>
      </w:r>
      <w:r w:rsidR="00152036">
        <w:rPr>
          <w:rFonts w:ascii="Garamond" w:hAnsi="Garamond"/>
        </w:rPr>
        <w:t xml:space="preserve"> also</w:t>
      </w:r>
      <w:r>
        <w:rPr>
          <w:rFonts w:ascii="Garamond" w:hAnsi="Garamond"/>
        </w:rPr>
        <w:t xml:space="preserve"> imposed on India in the process. </w:t>
      </w:r>
    </w:p>
    <w:p w14:paraId="3DE344C3" w14:textId="77777777" w:rsidR="001514E5" w:rsidRPr="00B21078" w:rsidRDefault="001514E5" w:rsidP="00A15016">
      <w:pPr>
        <w:rPr>
          <w:rFonts w:ascii="Garamond" w:hAnsi="Garamond"/>
          <w:b/>
          <w:i/>
        </w:rPr>
      </w:pPr>
    </w:p>
    <w:p w14:paraId="60360611" w14:textId="5A9E533B" w:rsidR="000C28F5" w:rsidRPr="00B21078" w:rsidRDefault="000C28F5" w:rsidP="00A15016">
      <w:pPr>
        <w:pStyle w:val="ListParagraph"/>
        <w:numPr>
          <w:ilvl w:val="0"/>
          <w:numId w:val="1"/>
        </w:numPr>
        <w:ind w:left="720"/>
        <w:rPr>
          <w:rFonts w:ascii="Garamond" w:hAnsi="Garamond"/>
          <w:b/>
        </w:rPr>
      </w:pPr>
      <w:r w:rsidRPr="00B21078">
        <w:rPr>
          <w:rFonts w:ascii="Garamond" w:hAnsi="Garamond"/>
          <w:b/>
        </w:rPr>
        <w:t>Conclusion</w:t>
      </w:r>
    </w:p>
    <w:p w14:paraId="06EBD1C2" w14:textId="77777777" w:rsidR="00515F28" w:rsidRPr="00B21078" w:rsidRDefault="00515F28">
      <w:pPr>
        <w:pStyle w:val="ListParagraph"/>
        <w:rPr>
          <w:rFonts w:ascii="Garamond" w:hAnsi="Garamond"/>
          <w:b/>
        </w:rPr>
      </w:pPr>
    </w:p>
    <w:p w14:paraId="208B1D12" w14:textId="6E161806" w:rsidR="002F5EBE" w:rsidRDefault="002F5EBE">
      <w:pPr>
        <w:spacing w:line="480" w:lineRule="auto"/>
        <w:ind w:firstLine="720"/>
        <w:rPr>
          <w:rFonts w:ascii="Garamond" w:hAnsi="Garamond" w:cs="Times New Roman"/>
        </w:rPr>
      </w:pPr>
      <w:r>
        <w:rPr>
          <w:rFonts w:ascii="Garamond" w:hAnsi="Garamond" w:cs="Times New Roman"/>
        </w:rPr>
        <w:t xml:space="preserve">This paper offers evidence of </w:t>
      </w:r>
      <w:r w:rsidR="00293052">
        <w:rPr>
          <w:rFonts w:ascii="Garamond" w:hAnsi="Garamond" w:cs="Times New Roman"/>
        </w:rPr>
        <w:t xml:space="preserve">public constraints on </w:t>
      </w:r>
      <w:r w:rsidR="00741745">
        <w:rPr>
          <w:rFonts w:ascii="Garamond" w:hAnsi="Garamond" w:cs="Times New Roman"/>
        </w:rPr>
        <w:t xml:space="preserve">the </w:t>
      </w:r>
      <w:r w:rsidR="00293052">
        <w:rPr>
          <w:rFonts w:ascii="Garamond" w:hAnsi="Garamond" w:cs="Times New Roman"/>
        </w:rPr>
        <w:t xml:space="preserve">leaders </w:t>
      </w:r>
      <w:r>
        <w:rPr>
          <w:rFonts w:ascii="Garamond" w:hAnsi="Garamond" w:cs="Times New Roman"/>
        </w:rPr>
        <w:t xml:space="preserve">of target states </w:t>
      </w:r>
      <w:r w:rsidR="00907092">
        <w:rPr>
          <w:rFonts w:ascii="Garamond" w:hAnsi="Garamond" w:cs="Times New Roman"/>
        </w:rPr>
        <w:t xml:space="preserve">that face provocation </w:t>
      </w:r>
      <w:r w:rsidR="00293052">
        <w:rPr>
          <w:rFonts w:ascii="Garamond" w:hAnsi="Garamond" w:cs="Times New Roman"/>
        </w:rPr>
        <w:t xml:space="preserve">in crises. </w:t>
      </w:r>
      <w:r w:rsidR="009A1D09">
        <w:rPr>
          <w:rFonts w:ascii="Garamond" w:hAnsi="Garamond" w:cs="Times New Roman"/>
        </w:rPr>
        <w:t>While</w:t>
      </w:r>
      <w:r w:rsidR="00293052">
        <w:rPr>
          <w:rFonts w:ascii="Garamond" w:hAnsi="Garamond" w:cs="Times New Roman"/>
        </w:rPr>
        <w:t xml:space="preserve"> </w:t>
      </w:r>
      <w:r>
        <w:rPr>
          <w:rFonts w:ascii="Garamond" w:hAnsi="Garamond" w:cs="Times New Roman"/>
        </w:rPr>
        <w:t>leaders</w:t>
      </w:r>
      <w:r w:rsidR="00907092">
        <w:rPr>
          <w:rFonts w:ascii="Garamond" w:hAnsi="Garamond" w:cs="Times New Roman"/>
        </w:rPr>
        <w:t xml:space="preserve"> </w:t>
      </w:r>
      <w:r>
        <w:rPr>
          <w:rFonts w:ascii="Garamond" w:hAnsi="Garamond" w:cs="Times New Roman"/>
        </w:rPr>
        <w:t xml:space="preserve">possess some </w:t>
      </w:r>
      <w:r w:rsidR="00907092">
        <w:rPr>
          <w:rFonts w:ascii="Garamond" w:hAnsi="Garamond" w:cs="Times New Roman"/>
        </w:rPr>
        <w:t>ability</w:t>
      </w:r>
      <w:r w:rsidR="00293052">
        <w:rPr>
          <w:rFonts w:ascii="Garamond" w:hAnsi="Garamond" w:cs="Times New Roman"/>
        </w:rPr>
        <w:t xml:space="preserve"> to attenuate </w:t>
      </w:r>
      <w:r>
        <w:rPr>
          <w:rFonts w:ascii="Garamond" w:hAnsi="Garamond" w:cs="Times New Roman"/>
        </w:rPr>
        <w:t xml:space="preserve">public </w:t>
      </w:r>
      <w:r w:rsidR="00293052">
        <w:rPr>
          <w:rFonts w:ascii="Garamond" w:hAnsi="Garamond" w:cs="Times New Roman"/>
        </w:rPr>
        <w:t xml:space="preserve">pressure </w:t>
      </w:r>
      <w:r>
        <w:rPr>
          <w:rFonts w:ascii="Garamond" w:hAnsi="Garamond" w:cs="Times New Roman"/>
        </w:rPr>
        <w:t>through</w:t>
      </w:r>
      <w:r w:rsidR="00293052">
        <w:rPr>
          <w:rFonts w:ascii="Garamond" w:hAnsi="Garamond" w:cs="Times New Roman"/>
        </w:rPr>
        <w:t xml:space="preserve"> specific messaging, </w:t>
      </w:r>
      <w:r w:rsidR="00907092">
        <w:rPr>
          <w:rFonts w:ascii="Garamond" w:hAnsi="Garamond" w:cs="Times New Roman"/>
        </w:rPr>
        <w:t>that ability appears to be limited. While military leaders receive greater public support to escalate than their civilian peers, they do not have a similar public opinion advantage in de-escalating. As a consequence</w:t>
      </w:r>
      <w:r w:rsidR="00A13ABB">
        <w:rPr>
          <w:rFonts w:ascii="Garamond" w:hAnsi="Garamond" w:cs="Times New Roman"/>
        </w:rPr>
        <w:t>,</w:t>
      </w:r>
      <w:r w:rsidR="00907092">
        <w:rPr>
          <w:rFonts w:ascii="Garamond" w:hAnsi="Garamond" w:cs="Times New Roman"/>
        </w:rPr>
        <w:t xml:space="preserve"> leaders</w:t>
      </w:r>
      <w:r w:rsidR="00293052">
        <w:rPr>
          <w:rFonts w:ascii="Garamond" w:hAnsi="Garamond" w:cs="Times New Roman"/>
        </w:rPr>
        <w:t xml:space="preserve"> face </w:t>
      </w:r>
      <w:r w:rsidR="00907092">
        <w:rPr>
          <w:rFonts w:ascii="Garamond" w:hAnsi="Garamond" w:cs="Times New Roman"/>
        </w:rPr>
        <w:t xml:space="preserve">clear popular </w:t>
      </w:r>
      <w:r w:rsidR="00293052">
        <w:rPr>
          <w:rFonts w:ascii="Garamond" w:hAnsi="Garamond" w:cs="Times New Roman"/>
        </w:rPr>
        <w:t xml:space="preserve">incentives for </w:t>
      </w:r>
      <w:r w:rsidR="00907092">
        <w:rPr>
          <w:rFonts w:ascii="Garamond" w:hAnsi="Garamond" w:cs="Times New Roman"/>
        </w:rPr>
        <w:t>escalation</w:t>
      </w:r>
      <w:r>
        <w:rPr>
          <w:rFonts w:ascii="Garamond" w:hAnsi="Garamond" w:cs="Times New Roman"/>
        </w:rPr>
        <w:t xml:space="preserve"> </w:t>
      </w:r>
      <w:r w:rsidR="00293052">
        <w:rPr>
          <w:rFonts w:ascii="Garamond" w:hAnsi="Garamond" w:cs="Times New Roman"/>
        </w:rPr>
        <w:t xml:space="preserve">in a crisis. </w:t>
      </w:r>
      <w:r>
        <w:rPr>
          <w:rFonts w:ascii="Garamond" w:hAnsi="Garamond" w:cs="Times New Roman"/>
        </w:rPr>
        <w:t xml:space="preserve">Despite well-understood risks and </w:t>
      </w:r>
      <w:r w:rsidR="00907092">
        <w:rPr>
          <w:rFonts w:ascii="Garamond" w:hAnsi="Garamond" w:cs="Times New Roman"/>
        </w:rPr>
        <w:t xml:space="preserve">potential </w:t>
      </w:r>
      <w:r>
        <w:rPr>
          <w:rFonts w:ascii="Garamond" w:hAnsi="Garamond" w:cs="Times New Roman"/>
        </w:rPr>
        <w:t xml:space="preserve">long-term costs, such pressures </w:t>
      </w:r>
      <w:r w:rsidR="00907092">
        <w:rPr>
          <w:rFonts w:ascii="Garamond" w:hAnsi="Garamond" w:cs="Times New Roman"/>
        </w:rPr>
        <w:t>could</w:t>
      </w:r>
      <w:r>
        <w:rPr>
          <w:rFonts w:ascii="Garamond" w:hAnsi="Garamond" w:cs="Times New Roman"/>
        </w:rPr>
        <w:t xml:space="preserve"> motivate a</w:t>
      </w:r>
      <w:r w:rsidR="00907092">
        <w:rPr>
          <w:rFonts w:ascii="Garamond" w:hAnsi="Garamond" w:cs="Times New Roman"/>
        </w:rPr>
        <w:t>n escalatory,</w:t>
      </w:r>
      <w:r>
        <w:rPr>
          <w:rFonts w:ascii="Garamond" w:hAnsi="Garamond" w:cs="Times New Roman"/>
        </w:rPr>
        <w:t xml:space="preserve"> tit-for-tat cycle of violence </w:t>
      </w:r>
      <w:r w:rsidR="00907092">
        <w:rPr>
          <w:rFonts w:ascii="Garamond" w:hAnsi="Garamond" w:cs="Times New Roman"/>
        </w:rPr>
        <w:t>that would be especially dangerous between two nuclear-armed adversaries</w:t>
      </w:r>
      <w:r>
        <w:rPr>
          <w:rFonts w:ascii="Garamond" w:hAnsi="Garamond" w:cs="Times New Roman"/>
        </w:rPr>
        <w:t>.</w:t>
      </w:r>
      <w:r w:rsidR="00293052">
        <w:rPr>
          <w:rFonts w:ascii="Garamond" w:hAnsi="Garamond" w:cs="Times New Roman"/>
        </w:rPr>
        <w:t xml:space="preserve"> </w:t>
      </w:r>
    </w:p>
    <w:p w14:paraId="230D11FB" w14:textId="0931612E" w:rsidR="00746288" w:rsidRDefault="002A1D59">
      <w:pPr>
        <w:spacing w:line="480" w:lineRule="auto"/>
        <w:ind w:firstLine="720"/>
        <w:rPr>
          <w:rFonts w:ascii="Garamond" w:hAnsi="Garamond" w:cs="Times New Roman"/>
        </w:rPr>
      </w:pPr>
      <w:r>
        <w:rPr>
          <w:rFonts w:ascii="Garamond" w:hAnsi="Garamond" w:cs="Times New Roman"/>
        </w:rPr>
        <w:t>India and Pakistan remain engaged in one of the longest enduring interstate rivalries. Th</w:t>
      </w:r>
      <w:r w:rsidR="00183951">
        <w:rPr>
          <w:rFonts w:ascii="Garamond" w:hAnsi="Garamond" w:cs="Times New Roman"/>
        </w:rPr>
        <w:t>is</w:t>
      </w:r>
      <w:r>
        <w:rPr>
          <w:rFonts w:ascii="Garamond" w:hAnsi="Garamond" w:cs="Times New Roman"/>
        </w:rPr>
        <w:t xml:space="preserve"> rivalry is especially dangerous given the repeated crises, continuation of cross-border violence, and nuclear</w:t>
      </w:r>
      <w:r w:rsidR="00E369B5">
        <w:rPr>
          <w:rFonts w:ascii="Garamond" w:hAnsi="Garamond" w:cs="Times New Roman"/>
        </w:rPr>
        <w:t xml:space="preserve">-armed </w:t>
      </w:r>
      <w:r>
        <w:rPr>
          <w:rFonts w:ascii="Garamond" w:hAnsi="Garamond" w:cs="Times New Roman"/>
        </w:rPr>
        <w:t>status of contemporary South Asia. Much of that danger has been attributed to Pakistan’s persistent revisionism</w:t>
      </w:r>
      <w:r w:rsidR="00DE5BC7">
        <w:rPr>
          <w:rFonts w:ascii="Garamond" w:hAnsi="Garamond" w:cs="Times New Roman"/>
        </w:rPr>
        <w:t xml:space="preserve"> (</w:t>
      </w:r>
      <w:r w:rsidR="00DE5BC7" w:rsidRPr="0057038A">
        <w:rPr>
          <w:rFonts w:ascii="Garamond" w:hAnsi="Garamond"/>
        </w:rPr>
        <w:t>Kapur 2007</w:t>
      </w:r>
      <w:r w:rsidR="00DE5BC7">
        <w:rPr>
          <w:rFonts w:ascii="Garamond" w:hAnsi="Garamond"/>
        </w:rPr>
        <w:t>)</w:t>
      </w:r>
      <w:r w:rsidR="00222C41">
        <w:rPr>
          <w:rFonts w:ascii="Garamond" w:hAnsi="Garamond" w:cs="Times New Roman"/>
        </w:rPr>
        <w:t>,</w:t>
      </w:r>
      <w:r>
        <w:rPr>
          <w:rFonts w:ascii="Garamond" w:hAnsi="Garamond" w:cs="Times New Roman"/>
        </w:rPr>
        <w:t xml:space="preserve"> which in turn has </w:t>
      </w:r>
      <w:r w:rsidR="002E46C5">
        <w:rPr>
          <w:rFonts w:ascii="Garamond" w:hAnsi="Garamond" w:cs="Times New Roman"/>
        </w:rPr>
        <w:t>been attributed by many scholars</w:t>
      </w:r>
      <w:r>
        <w:rPr>
          <w:rFonts w:ascii="Garamond" w:hAnsi="Garamond" w:cs="Times New Roman"/>
        </w:rPr>
        <w:t xml:space="preserve"> to the preferences of the Pakistan Army</w:t>
      </w:r>
      <w:r w:rsidR="00DE5BC7">
        <w:rPr>
          <w:rFonts w:ascii="Garamond" w:hAnsi="Garamond" w:cs="Times New Roman"/>
        </w:rPr>
        <w:t xml:space="preserve"> (</w:t>
      </w:r>
      <w:r w:rsidR="00DE5BC7" w:rsidRPr="0057038A">
        <w:rPr>
          <w:rFonts w:ascii="Garamond" w:hAnsi="Garamond"/>
        </w:rPr>
        <w:t>Fair 2014; Shah 2014</w:t>
      </w:r>
      <w:r w:rsidR="00DE5BC7">
        <w:rPr>
          <w:rFonts w:ascii="Garamond" w:hAnsi="Garamond"/>
        </w:rPr>
        <w:t>)</w:t>
      </w:r>
      <w:r w:rsidR="00222C41">
        <w:rPr>
          <w:rFonts w:ascii="Garamond" w:hAnsi="Garamond" w:cs="Times New Roman"/>
        </w:rPr>
        <w:t>.</w:t>
      </w:r>
      <w:r>
        <w:rPr>
          <w:rFonts w:ascii="Garamond" w:hAnsi="Garamond" w:cs="Times New Roman"/>
        </w:rPr>
        <w:t xml:space="preserve"> Th</w:t>
      </w:r>
      <w:r w:rsidR="00183951">
        <w:rPr>
          <w:rFonts w:ascii="Garamond" w:hAnsi="Garamond" w:cs="Times New Roman"/>
        </w:rPr>
        <w:t>e</w:t>
      </w:r>
      <w:r>
        <w:rPr>
          <w:rFonts w:ascii="Garamond" w:hAnsi="Garamond" w:cs="Times New Roman"/>
        </w:rPr>
        <w:t xml:space="preserve"> causal logic tying the Pakistan Army to the perpetuation of conflict in South Asia may be correct, but this survey experiment suggests that the Pakistan Army does not garner unfettered support for </w:t>
      </w:r>
      <w:r w:rsidR="00983C1D">
        <w:rPr>
          <w:rFonts w:ascii="Garamond" w:hAnsi="Garamond" w:cs="Times New Roman"/>
        </w:rPr>
        <w:t>any possible</w:t>
      </w:r>
      <w:r w:rsidR="001E31BD">
        <w:rPr>
          <w:rFonts w:ascii="Garamond" w:hAnsi="Garamond" w:cs="Times New Roman"/>
        </w:rPr>
        <w:t xml:space="preserve"> </w:t>
      </w:r>
      <w:r>
        <w:rPr>
          <w:rFonts w:ascii="Garamond" w:hAnsi="Garamond" w:cs="Times New Roman"/>
        </w:rPr>
        <w:t>action. Instead, while respondents are more supportive of the Pakistan Army than they are civilian leaders in taking escalatory steps, th</w:t>
      </w:r>
      <w:r w:rsidR="0041086E">
        <w:rPr>
          <w:rFonts w:ascii="Garamond" w:hAnsi="Garamond" w:cs="Times New Roman"/>
        </w:rPr>
        <w:t>ey give no greater latitude to a</w:t>
      </w:r>
      <w:r>
        <w:rPr>
          <w:rFonts w:ascii="Garamond" w:hAnsi="Garamond" w:cs="Times New Roman"/>
        </w:rPr>
        <w:t xml:space="preserve">rmy leaders in de-escalating than they do civilian leaders. This result suggests </w:t>
      </w:r>
      <w:r w:rsidR="00183951">
        <w:rPr>
          <w:rFonts w:ascii="Garamond" w:hAnsi="Garamond" w:cs="Times New Roman"/>
        </w:rPr>
        <w:t xml:space="preserve">that </w:t>
      </w:r>
      <w:r>
        <w:rPr>
          <w:rFonts w:ascii="Garamond" w:hAnsi="Garamond" w:cs="Times New Roman"/>
        </w:rPr>
        <w:t xml:space="preserve">the relationship between the military, public opinion, and foreign </w:t>
      </w:r>
      <w:r>
        <w:rPr>
          <w:rFonts w:ascii="Garamond" w:hAnsi="Garamond" w:cs="Times New Roman"/>
        </w:rPr>
        <w:lastRenderedPageBreak/>
        <w:t xml:space="preserve">policy in Pakistan is more complicated than merely </w:t>
      </w:r>
      <w:r w:rsidR="00083804">
        <w:rPr>
          <w:rFonts w:ascii="Garamond" w:hAnsi="Garamond" w:cs="Times New Roman"/>
        </w:rPr>
        <w:t xml:space="preserve">one of </w:t>
      </w:r>
      <w:r>
        <w:rPr>
          <w:rFonts w:ascii="Garamond" w:hAnsi="Garamond" w:cs="Times New Roman"/>
        </w:rPr>
        <w:t>the military dictating opinion and policy</w:t>
      </w:r>
      <w:r w:rsidR="00083804">
        <w:rPr>
          <w:rFonts w:ascii="Garamond" w:hAnsi="Garamond" w:cs="Times New Roman"/>
        </w:rPr>
        <w:t>, and</w:t>
      </w:r>
      <w:r>
        <w:rPr>
          <w:rFonts w:ascii="Garamond" w:hAnsi="Garamond" w:cs="Times New Roman"/>
        </w:rPr>
        <w:t xml:space="preserve"> indicates </w:t>
      </w:r>
      <w:r w:rsidR="00083804">
        <w:rPr>
          <w:rFonts w:ascii="Garamond" w:hAnsi="Garamond" w:cs="Times New Roman"/>
        </w:rPr>
        <w:t xml:space="preserve">that </w:t>
      </w:r>
      <w:r>
        <w:rPr>
          <w:rFonts w:ascii="Garamond" w:hAnsi="Garamond" w:cs="Times New Roman"/>
        </w:rPr>
        <w:t xml:space="preserve">the military may </w:t>
      </w:r>
      <w:r w:rsidR="00EB22BC">
        <w:rPr>
          <w:rFonts w:ascii="Garamond" w:hAnsi="Garamond" w:cs="Times New Roman"/>
        </w:rPr>
        <w:t xml:space="preserve">itself </w:t>
      </w:r>
      <w:r>
        <w:rPr>
          <w:rFonts w:ascii="Garamond" w:hAnsi="Garamond" w:cs="Times New Roman"/>
        </w:rPr>
        <w:t>be partially trapped by hawkish preferences</w:t>
      </w:r>
      <w:r w:rsidR="00285044">
        <w:rPr>
          <w:rFonts w:ascii="Garamond" w:hAnsi="Garamond" w:cs="Times New Roman"/>
        </w:rPr>
        <w:t xml:space="preserve"> of the public</w:t>
      </w:r>
      <w:r>
        <w:rPr>
          <w:rFonts w:ascii="Garamond" w:hAnsi="Garamond" w:cs="Times New Roman"/>
        </w:rPr>
        <w:t>.</w:t>
      </w:r>
    </w:p>
    <w:p w14:paraId="26DF2716" w14:textId="7D64C44E" w:rsidR="00CF0F9F" w:rsidRPr="00CF0F9F" w:rsidRDefault="00CF0F9F">
      <w:pPr>
        <w:spacing w:line="480" w:lineRule="auto"/>
        <w:ind w:firstLine="720"/>
        <w:rPr>
          <w:rFonts w:ascii="Garamond" w:hAnsi="Garamond"/>
        </w:rPr>
      </w:pPr>
      <w:r>
        <w:rPr>
          <w:rFonts w:ascii="Garamond" w:hAnsi="Garamond"/>
        </w:rPr>
        <w:t>Political survival in Pakistan is a difficult feat. No civilian prime minister has completed a constitutionally permissible five-year term in office. This heightens the importance of our findings, which point towards public sanction for de-escalating conflict. These “lost rally” opportunity costs must be considered in a bargaining model just as audience costs have been incorporated. Crises can appear by accident or at unpredictable tim</w:t>
      </w:r>
      <w:r w:rsidR="00907092">
        <w:rPr>
          <w:rFonts w:ascii="Garamond" w:hAnsi="Garamond"/>
        </w:rPr>
        <w:t>e</w:t>
      </w:r>
      <w:r>
        <w:rPr>
          <w:rFonts w:ascii="Garamond" w:hAnsi="Garamond"/>
        </w:rPr>
        <w:t xml:space="preserve">s as a result of risk-producing foreign policies that are poorly understood by national leaders. Thus not all crises are carefully selected into by their participant states, leaving open the possibility of inadvertent and uncontrollable escalation. The public opinion pressures felt by </w:t>
      </w:r>
      <w:r w:rsidR="001E31BD">
        <w:rPr>
          <w:rFonts w:ascii="Garamond" w:hAnsi="Garamond"/>
        </w:rPr>
        <w:t xml:space="preserve">target </w:t>
      </w:r>
      <w:r>
        <w:rPr>
          <w:rFonts w:ascii="Garamond" w:hAnsi="Garamond"/>
        </w:rPr>
        <w:t xml:space="preserve">states that </w:t>
      </w:r>
      <w:r w:rsidR="00983C1D">
        <w:rPr>
          <w:rFonts w:ascii="Garamond" w:hAnsi="Garamond"/>
        </w:rPr>
        <w:t>perceive</w:t>
      </w:r>
      <w:r>
        <w:rPr>
          <w:rFonts w:ascii="Garamond" w:hAnsi="Garamond"/>
        </w:rPr>
        <w:t xml:space="preserve"> adversary provocation then are especially worthy of study. </w:t>
      </w:r>
    </w:p>
    <w:p w14:paraId="09540AA9" w14:textId="0B6F94AC" w:rsidR="00741745" w:rsidRDefault="00741745">
      <w:pPr>
        <w:spacing w:line="480" w:lineRule="auto"/>
        <w:ind w:firstLine="720"/>
        <w:rPr>
          <w:rFonts w:ascii="Garamond" w:hAnsi="Garamond"/>
        </w:rPr>
      </w:pPr>
      <w:r>
        <w:rPr>
          <w:rFonts w:ascii="Garamond" w:hAnsi="Garamond"/>
        </w:rPr>
        <w:t xml:space="preserve">Our findings suggest several avenues for future research. </w:t>
      </w:r>
      <w:r w:rsidR="00CF0F9F">
        <w:rPr>
          <w:rFonts w:ascii="Garamond" w:hAnsi="Garamond"/>
        </w:rPr>
        <w:t>First, our survey shows</w:t>
      </w:r>
      <w:r>
        <w:rPr>
          <w:rFonts w:ascii="Garamond" w:hAnsi="Garamond"/>
        </w:rPr>
        <w:t xml:space="preserve"> that </w:t>
      </w:r>
      <w:r>
        <w:rPr>
          <w:rFonts w:ascii="Garamond" w:hAnsi="Garamond" w:cs="Times New Roman"/>
        </w:rPr>
        <w:t>Pakistanis exhibit a strong preference for responding to provocative Indian violence with retaliatory violence. Whether this preference derives solely from Pakistani attitudes toward India or concerns about national honor and sovereignty following provocation was not tested, and future research should attempt to distinguish between these possibilities.</w:t>
      </w:r>
    </w:p>
    <w:p w14:paraId="60CE542D" w14:textId="0537C95D" w:rsidR="00EC24A6" w:rsidRDefault="00741745">
      <w:pPr>
        <w:spacing w:line="480" w:lineRule="auto"/>
        <w:ind w:firstLine="720"/>
        <w:rPr>
          <w:rFonts w:ascii="Garamond" w:hAnsi="Garamond" w:cs="Times New Roman"/>
        </w:rPr>
      </w:pPr>
      <w:r>
        <w:rPr>
          <w:rFonts w:ascii="Garamond" w:hAnsi="Garamond" w:cs="Times New Roman"/>
        </w:rPr>
        <w:t xml:space="preserve">Second, </w:t>
      </w:r>
      <w:r w:rsidR="00215D46">
        <w:rPr>
          <w:rFonts w:ascii="Garamond" w:hAnsi="Garamond" w:cs="Times New Roman"/>
        </w:rPr>
        <w:t>o</w:t>
      </w:r>
      <w:r w:rsidR="002A1D59">
        <w:rPr>
          <w:rFonts w:ascii="Garamond" w:hAnsi="Garamond" w:cs="Times New Roman"/>
        </w:rPr>
        <w:t>ur testing of justifications for de-escalatio</w:t>
      </w:r>
      <w:r w:rsidR="00C63D0D">
        <w:rPr>
          <w:rFonts w:ascii="Garamond" w:hAnsi="Garamond" w:cs="Times New Roman"/>
        </w:rPr>
        <w:t>n</w:t>
      </w:r>
      <w:r w:rsidR="002A1D59">
        <w:rPr>
          <w:rFonts w:ascii="Garamond" w:hAnsi="Garamond" w:cs="Times New Roman"/>
        </w:rPr>
        <w:t xml:space="preserve"> suggest</w:t>
      </w:r>
      <w:r w:rsidR="00C63D0D">
        <w:rPr>
          <w:rFonts w:ascii="Garamond" w:hAnsi="Garamond" w:cs="Times New Roman"/>
        </w:rPr>
        <w:t>s</w:t>
      </w:r>
      <w:r w:rsidR="002A1D59">
        <w:rPr>
          <w:rFonts w:ascii="Garamond" w:hAnsi="Garamond" w:cs="Times New Roman"/>
        </w:rPr>
        <w:t xml:space="preserve"> that respondents are somewhat persuaded by arguments associated with an “economic” or “nuclear” peace. </w:t>
      </w:r>
      <w:r w:rsidR="00D42F6E">
        <w:rPr>
          <w:rFonts w:ascii="Garamond" w:hAnsi="Garamond" w:cs="Times New Roman"/>
        </w:rPr>
        <w:t>However, while these</w:t>
      </w:r>
      <w:r w:rsidR="002A1D59">
        <w:rPr>
          <w:rFonts w:ascii="Garamond" w:hAnsi="Garamond" w:cs="Times New Roman"/>
        </w:rPr>
        <w:t xml:space="preserve"> messages </w:t>
      </w:r>
      <w:r w:rsidR="004C5266">
        <w:rPr>
          <w:rFonts w:ascii="Garamond" w:hAnsi="Garamond" w:cs="Times New Roman"/>
        </w:rPr>
        <w:t xml:space="preserve">partially </w:t>
      </w:r>
      <w:r w:rsidR="002A1D59">
        <w:rPr>
          <w:rFonts w:ascii="Garamond" w:hAnsi="Garamond" w:cs="Times New Roman"/>
        </w:rPr>
        <w:t>mitigated the preference for escalation,</w:t>
      </w:r>
      <w:r w:rsidR="00BC704D">
        <w:rPr>
          <w:rFonts w:ascii="Garamond" w:hAnsi="Garamond" w:cs="Times New Roman"/>
        </w:rPr>
        <w:t xml:space="preserve"> they</w:t>
      </w:r>
      <w:r w:rsidR="002A1D59">
        <w:rPr>
          <w:rFonts w:ascii="Garamond" w:hAnsi="Garamond" w:cs="Times New Roman"/>
        </w:rPr>
        <w:t xml:space="preserve"> did not eliminate it. </w:t>
      </w:r>
      <w:r w:rsidR="00C63D0D">
        <w:rPr>
          <w:rFonts w:ascii="Garamond" w:hAnsi="Garamond" w:cs="Times New Roman"/>
        </w:rPr>
        <w:t xml:space="preserve">Future research should </w:t>
      </w:r>
      <w:r w:rsidR="00322D49">
        <w:rPr>
          <w:rFonts w:ascii="Garamond" w:hAnsi="Garamond" w:cs="Times New Roman"/>
        </w:rPr>
        <w:t>look t</w:t>
      </w:r>
      <w:r w:rsidR="00EC24A6">
        <w:rPr>
          <w:rFonts w:ascii="Garamond" w:hAnsi="Garamond" w:cs="Times New Roman"/>
        </w:rPr>
        <w:t xml:space="preserve">o </w:t>
      </w:r>
      <w:r w:rsidR="00907092">
        <w:rPr>
          <w:rFonts w:ascii="Garamond" w:hAnsi="Garamond" w:cs="Times New Roman"/>
        </w:rPr>
        <w:t xml:space="preserve">the comparative effect of such justifications in different contexts. Additionally, we did not test whether such justifications were more or less persuasive if made by military leaders </w:t>
      </w:r>
      <w:r w:rsidR="00A13ABB">
        <w:rPr>
          <w:rFonts w:ascii="Garamond" w:hAnsi="Garamond" w:cs="Times New Roman"/>
        </w:rPr>
        <w:t xml:space="preserve">due to </w:t>
      </w:r>
      <w:r w:rsidR="00907092">
        <w:rPr>
          <w:rFonts w:ascii="Garamond" w:hAnsi="Garamond" w:cs="Times New Roman"/>
        </w:rPr>
        <w:t xml:space="preserve">sample size concerns, but future research should explore the relationship between different messengers as well as the messages they send to justify these types of decisions. </w:t>
      </w:r>
    </w:p>
    <w:p w14:paraId="3F70840A" w14:textId="0E0D2597" w:rsidR="002A1D59" w:rsidRDefault="00EC24A6">
      <w:pPr>
        <w:spacing w:line="480" w:lineRule="auto"/>
        <w:ind w:firstLine="720"/>
        <w:rPr>
          <w:rFonts w:ascii="Garamond" w:hAnsi="Garamond" w:cs="Times New Roman"/>
        </w:rPr>
      </w:pPr>
      <w:r>
        <w:rPr>
          <w:rFonts w:ascii="Garamond" w:hAnsi="Garamond" w:cs="Times New Roman"/>
        </w:rPr>
        <w:lastRenderedPageBreak/>
        <w:t xml:space="preserve">Finally, </w:t>
      </w:r>
      <w:r w:rsidR="00CF0F9F">
        <w:rPr>
          <w:rFonts w:ascii="Garamond" w:hAnsi="Garamond" w:cs="Times New Roman"/>
        </w:rPr>
        <w:t xml:space="preserve">it may be the case that respondents </w:t>
      </w:r>
      <w:r w:rsidR="00073131">
        <w:rPr>
          <w:rFonts w:ascii="Garamond" w:hAnsi="Garamond" w:cs="Times New Roman"/>
        </w:rPr>
        <w:t xml:space="preserve">prefer escalation to de-escalation </w:t>
      </w:r>
      <w:r w:rsidR="006D4F71">
        <w:rPr>
          <w:rFonts w:ascii="Garamond" w:hAnsi="Garamond" w:cs="Times New Roman"/>
        </w:rPr>
        <w:t>under certain conditions</w:t>
      </w:r>
      <w:r w:rsidR="00A30653">
        <w:rPr>
          <w:rFonts w:ascii="Garamond" w:hAnsi="Garamond" w:cs="Times New Roman"/>
        </w:rPr>
        <w:t xml:space="preserve">. In our escalatory scenario, Pakistan suffered a small number of casualties in the process of inflicting a small, but somewhat larger, number of casualties on India. Future work may seek to disentangle how public support for escalation varies as absolute and relative costs change. National honor may be something that is worth 5 soldiers, but not 500 or 5,000. </w:t>
      </w:r>
    </w:p>
    <w:p w14:paraId="2967CDCD" w14:textId="1DCBD089" w:rsidR="00A30653" w:rsidRPr="00C86A96" w:rsidRDefault="000F7998">
      <w:pPr>
        <w:spacing w:line="480" w:lineRule="auto"/>
        <w:ind w:firstLine="720"/>
        <w:rPr>
          <w:rFonts w:ascii="Garamond" w:hAnsi="Garamond"/>
        </w:rPr>
      </w:pPr>
      <w:r>
        <w:rPr>
          <w:rFonts w:ascii="Garamond" w:hAnsi="Garamond" w:cs="Times New Roman"/>
        </w:rPr>
        <w:t xml:space="preserve">India and Pakistan continue to engage in routine violence along their disputed border in Kashmir </w:t>
      </w:r>
      <w:r w:rsidR="00C86A96">
        <w:rPr>
          <w:rFonts w:ascii="Garamond" w:hAnsi="Garamond" w:cs="Times New Roman"/>
        </w:rPr>
        <w:t>while</w:t>
      </w:r>
      <w:r>
        <w:rPr>
          <w:rFonts w:ascii="Garamond" w:hAnsi="Garamond" w:cs="Times New Roman"/>
        </w:rPr>
        <w:t xml:space="preserve"> Pakistan-supported groups </w:t>
      </w:r>
      <w:r w:rsidR="00C86A96">
        <w:rPr>
          <w:rFonts w:ascii="Garamond" w:hAnsi="Garamond" w:cs="Times New Roman"/>
        </w:rPr>
        <w:t xml:space="preserve">persist in </w:t>
      </w:r>
      <w:r>
        <w:rPr>
          <w:rFonts w:ascii="Garamond" w:hAnsi="Garamond" w:cs="Times New Roman"/>
        </w:rPr>
        <w:t xml:space="preserve">terrorist </w:t>
      </w:r>
      <w:r w:rsidR="00C86A96">
        <w:rPr>
          <w:rFonts w:ascii="Garamond" w:hAnsi="Garamond" w:cs="Times New Roman"/>
        </w:rPr>
        <w:t>violence</w:t>
      </w:r>
      <w:r>
        <w:rPr>
          <w:rFonts w:ascii="Garamond" w:hAnsi="Garamond" w:cs="Times New Roman"/>
        </w:rPr>
        <w:t xml:space="preserve"> </w:t>
      </w:r>
      <w:r w:rsidR="00C86A96">
        <w:rPr>
          <w:rFonts w:ascii="Garamond" w:hAnsi="Garamond" w:cs="Times New Roman"/>
        </w:rPr>
        <w:t>against the Indian state and its civilians</w:t>
      </w:r>
      <w:r>
        <w:rPr>
          <w:rFonts w:ascii="Garamond" w:hAnsi="Garamond" w:cs="Times New Roman"/>
        </w:rPr>
        <w:t xml:space="preserve">. Any of these </w:t>
      </w:r>
      <w:r w:rsidR="00C86A96">
        <w:rPr>
          <w:rFonts w:ascii="Garamond" w:hAnsi="Garamond" w:cs="Times New Roman"/>
        </w:rPr>
        <w:t>incidents</w:t>
      </w:r>
      <w:r>
        <w:rPr>
          <w:rFonts w:ascii="Garamond" w:hAnsi="Garamond" w:cs="Times New Roman"/>
        </w:rPr>
        <w:t xml:space="preserve"> has the potential to become a crisis</w:t>
      </w:r>
      <w:r w:rsidR="00C86A96">
        <w:rPr>
          <w:rFonts w:ascii="Garamond" w:hAnsi="Garamond" w:cs="Times New Roman"/>
        </w:rPr>
        <w:t xml:space="preserve">. Once public attention is aware of a provocation, our results suggest there are clear pressures for escalation—pressures that may work to weaken deterrence at a future critical juncture. </w:t>
      </w:r>
      <w:r w:rsidR="00C45453">
        <w:rPr>
          <w:rFonts w:ascii="Garamond" w:hAnsi="Garamond" w:cs="Times New Roman"/>
        </w:rPr>
        <w:t>U</w:t>
      </w:r>
      <w:r w:rsidR="00C86A96">
        <w:rPr>
          <w:rFonts w:ascii="Garamond" w:hAnsi="Garamond" w:cs="Times New Roman"/>
        </w:rPr>
        <w:t xml:space="preserve">nderstanding such pressures—in the initiating </w:t>
      </w:r>
      <w:r w:rsidR="00C86A96" w:rsidRPr="0009296A">
        <w:rPr>
          <w:rFonts w:ascii="Garamond" w:hAnsi="Garamond" w:cs="Times New Roman"/>
          <w:i/>
        </w:rPr>
        <w:t>and</w:t>
      </w:r>
      <w:r w:rsidR="00C86A96">
        <w:rPr>
          <w:rFonts w:ascii="Garamond" w:hAnsi="Garamond" w:cs="Times New Roman"/>
        </w:rPr>
        <w:t xml:space="preserve"> target state as well as when leaders intentionally try to heighten audience costs </w:t>
      </w:r>
      <w:r w:rsidR="00C86A96">
        <w:rPr>
          <w:rFonts w:ascii="Garamond" w:hAnsi="Garamond" w:cs="Times New Roman"/>
          <w:i/>
        </w:rPr>
        <w:t xml:space="preserve">and </w:t>
      </w:r>
      <w:r w:rsidR="00C86A96">
        <w:rPr>
          <w:rFonts w:ascii="Garamond" w:hAnsi="Garamond" w:cs="Times New Roman"/>
        </w:rPr>
        <w:t xml:space="preserve">when they try to minimize them—continues to merit intense scrutiny. </w:t>
      </w:r>
    </w:p>
    <w:p w14:paraId="6F1A4048" w14:textId="0234C7CD" w:rsidR="00967E54" w:rsidRPr="00B21078" w:rsidRDefault="00967E54">
      <w:pPr>
        <w:rPr>
          <w:rFonts w:ascii="Garamond" w:hAnsi="Garamond"/>
          <w:b/>
          <w:bCs/>
        </w:rPr>
      </w:pPr>
    </w:p>
    <w:p w14:paraId="3DE65324" w14:textId="4D662763" w:rsidR="0064087C" w:rsidRPr="00B21078" w:rsidRDefault="00102EBE">
      <w:pPr>
        <w:outlineLvl w:val="0"/>
        <w:rPr>
          <w:rFonts w:ascii="Garamond" w:hAnsi="Garamond"/>
          <w:b/>
          <w:bCs/>
        </w:rPr>
      </w:pPr>
      <w:r>
        <w:rPr>
          <w:rFonts w:ascii="Garamond" w:hAnsi="Garamond"/>
          <w:b/>
          <w:bCs/>
        </w:rPr>
        <w:t>References</w:t>
      </w:r>
    </w:p>
    <w:p w14:paraId="4B9E4A7A" w14:textId="129BF82D" w:rsidR="00AD2383" w:rsidRPr="00B21078" w:rsidRDefault="00AD2383">
      <w:pPr>
        <w:rPr>
          <w:rFonts w:ascii="Garamond" w:hAnsi="Garamond"/>
          <w:b/>
          <w:bCs/>
        </w:rPr>
      </w:pPr>
    </w:p>
    <w:p w14:paraId="73BAEC8D" w14:textId="51476824" w:rsidR="00102EBE" w:rsidRPr="008D0803" w:rsidRDefault="00102EBE" w:rsidP="007A5EB9">
      <w:pPr>
        <w:pStyle w:val="Bibliography"/>
        <w:spacing w:line="480" w:lineRule="auto"/>
        <w:rPr>
          <w:rFonts w:ascii="Garamond" w:hAnsi="Garamond"/>
        </w:rPr>
      </w:pPr>
      <w:r w:rsidRPr="008D0803">
        <w:rPr>
          <w:rFonts w:ascii="Garamond" w:hAnsi="Garamond"/>
        </w:rPr>
        <w:t>A</w:t>
      </w:r>
      <w:r w:rsidR="00505B56" w:rsidRPr="0063486D">
        <w:rPr>
          <w:rFonts w:ascii="Garamond" w:hAnsi="Garamond"/>
        </w:rPr>
        <w:t xml:space="preserve">deney, Katharine. 2017. </w:t>
      </w:r>
      <w:r w:rsidR="005A406C">
        <w:rPr>
          <w:rFonts w:ascii="Garamond" w:hAnsi="Garamond"/>
        </w:rPr>
        <w:t>“</w:t>
      </w:r>
      <w:r w:rsidR="00505B56" w:rsidRPr="0063486D">
        <w:rPr>
          <w:rFonts w:ascii="Garamond" w:hAnsi="Garamond"/>
        </w:rPr>
        <w:t xml:space="preserve">How to </w:t>
      </w:r>
      <w:r w:rsidR="00505B56">
        <w:rPr>
          <w:rFonts w:ascii="Garamond" w:hAnsi="Garamond"/>
        </w:rPr>
        <w:t>U</w:t>
      </w:r>
      <w:r w:rsidRPr="008D0803">
        <w:rPr>
          <w:rFonts w:ascii="Garamond" w:hAnsi="Garamond"/>
        </w:rPr>
        <w:t>nderstand Pakistan’</w:t>
      </w:r>
      <w:r w:rsidR="00505B56" w:rsidRPr="0063486D">
        <w:rPr>
          <w:rFonts w:ascii="Garamond" w:hAnsi="Garamond"/>
        </w:rPr>
        <w:t xml:space="preserve">s </w:t>
      </w:r>
      <w:r w:rsidR="00505B56">
        <w:rPr>
          <w:rFonts w:ascii="Garamond" w:hAnsi="Garamond"/>
        </w:rPr>
        <w:t>H</w:t>
      </w:r>
      <w:r w:rsidR="00505B56" w:rsidRPr="0063486D">
        <w:rPr>
          <w:rFonts w:ascii="Garamond" w:hAnsi="Garamond"/>
        </w:rPr>
        <w:t xml:space="preserve">ybrid </w:t>
      </w:r>
      <w:r w:rsidR="00505B56">
        <w:rPr>
          <w:rFonts w:ascii="Garamond" w:hAnsi="Garamond"/>
        </w:rPr>
        <w:t>R</w:t>
      </w:r>
      <w:r w:rsidR="00505B56" w:rsidRPr="0063486D">
        <w:rPr>
          <w:rFonts w:ascii="Garamond" w:hAnsi="Garamond"/>
        </w:rPr>
        <w:t xml:space="preserve">egime: </w:t>
      </w:r>
      <w:r w:rsidR="00505B56">
        <w:rPr>
          <w:rFonts w:ascii="Garamond" w:hAnsi="Garamond"/>
        </w:rPr>
        <w:t>T</w:t>
      </w:r>
      <w:r w:rsidRPr="008D0803">
        <w:rPr>
          <w:rFonts w:ascii="Garamond" w:hAnsi="Garamond"/>
        </w:rPr>
        <w:t xml:space="preserve">he </w:t>
      </w:r>
      <w:r w:rsidR="00505B56">
        <w:rPr>
          <w:rFonts w:ascii="Garamond" w:hAnsi="Garamond"/>
        </w:rPr>
        <w:t>I</w:t>
      </w:r>
      <w:r w:rsidR="00505B56" w:rsidRPr="0063486D">
        <w:rPr>
          <w:rFonts w:ascii="Garamond" w:hAnsi="Garamond"/>
        </w:rPr>
        <w:t xml:space="preserve">mportance of a </w:t>
      </w:r>
      <w:r w:rsidR="00505B56">
        <w:rPr>
          <w:rFonts w:ascii="Garamond" w:hAnsi="Garamond"/>
        </w:rPr>
        <w:t>M</w:t>
      </w:r>
      <w:r w:rsidR="00505B56" w:rsidRPr="0063486D">
        <w:rPr>
          <w:rFonts w:ascii="Garamond" w:hAnsi="Garamond"/>
        </w:rPr>
        <w:t xml:space="preserve">ultidimensional </w:t>
      </w:r>
      <w:r w:rsidR="00505B56">
        <w:rPr>
          <w:rFonts w:ascii="Garamond" w:hAnsi="Garamond"/>
        </w:rPr>
        <w:t>C</w:t>
      </w:r>
      <w:r w:rsidRPr="008D0803">
        <w:rPr>
          <w:rFonts w:ascii="Garamond" w:hAnsi="Garamond"/>
        </w:rPr>
        <w:t>ontinuum.</w:t>
      </w:r>
      <w:r w:rsidR="005A406C">
        <w:rPr>
          <w:rFonts w:ascii="Garamond" w:hAnsi="Garamond"/>
        </w:rPr>
        <w:t>”</w:t>
      </w:r>
      <w:r w:rsidRPr="008D0803">
        <w:rPr>
          <w:rFonts w:ascii="Garamond" w:hAnsi="Garamond"/>
        </w:rPr>
        <w:t xml:space="preserve"> </w:t>
      </w:r>
      <w:r w:rsidRPr="008D0803">
        <w:rPr>
          <w:rFonts w:ascii="Garamond" w:hAnsi="Garamond"/>
          <w:i/>
          <w:iCs/>
        </w:rPr>
        <w:t>Democratization</w:t>
      </w:r>
      <w:r w:rsidR="00464520" w:rsidRPr="0063486D">
        <w:rPr>
          <w:rFonts w:ascii="Garamond" w:hAnsi="Garamond"/>
        </w:rPr>
        <w:t xml:space="preserve"> 24 (1):</w:t>
      </w:r>
      <w:r w:rsidRPr="008D0803">
        <w:rPr>
          <w:rFonts w:ascii="Garamond" w:hAnsi="Garamond"/>
        </w:rPr>
        <w:t>119–137.</w:t>
      </w:r>
    </w:p>
    <w:p w14:paraId="773AC96E" w14:textId="42E5C9A5" w:rsidR="00102EBE" w:rsidRPr="008D0803" w:rsidRDefault="00102EBE" w:rsidP="007A5EB9">
      <w:pPr>
        <w:pStyle w:val="Bibliography"/>
        <w:spacing w:line="480" w:lineRule="auto"/>
        <w:rPr>
          <w:rFonts w:ascii="Garamond" w:hAnsi="Garamond"/>
        </w:rPr>
      </w:pPr>
      <w:r w:rsidRPr="008D0803">
        <w:rPr>
          <w:rFonts w:ascii="Garamond" w:hAnsi="Garamond"/>
        </w:rPr>
        <w:t xml:space="preserve">Angell, Norman. 1910. </w:t>
      </w:r>
      <w:r w:rsidRPr="008D0803">
        <w:rPr>
          <w:rFonts w:ascii="Garamond" w:hAnsi="Garamond"/>
          <w:i/>
          <w:iCs/>
        </w:rPr>
        <w:t>The Great Illusion: A Study of the Relation of Military Power in Nations to Their Economic and Social Advantage</w:t>
      </w:r>
      <w:r w:rsidRPr="008D0803">
        <w:rPr>
          <w:rFonts w:ascii="Garamond" w:hAnsi="Garamond"/>
        </w:rPr>
        <w:t xml:space="preserve">. </w:t>
      </w:r>
      <w:r w:rsidR="00EF675E">
        <w:rPr>
          <w:rFonts w:ascii="Garamond" w:hAnsi="Garamond"/>
        </w:rPr>
        <w:t xml:space="preserve">New York: </w:t>
      </w:r>
      <w:r w:rsidRPr="008D0803">
        <w:rPr>
          <w:rFonts w:ascii="Garamond" w:hAnsi="Garamond"/>
        </w:rPr>
        <w:t>Putnam.</w:t>
      </w:r>
    </w:p>
    <w:p w14:paraId="254E818A" w14:textId="2C3747A4" w:rsidR="00102EBE" w:rsidRPr="008D0803" w:rsidRDefault="00102EBE" w:rsidP="007A5EB9">
      <w:pPr>
        <w:pStyle w:val="Bibliography"/>
        <w:spacing w:line="480" w:lineRule="auto"/>
        <w:rPr>
          <w:rFonts w:ascii="Garamond" w:hAnsi="Garamond"/>
        </w:rPr>
      </w:pPr>
      <w:r w:rsidRPr="008D0803">
        <w:rPr>
          <w:rFonts w:ascii="Garamond" w:hAnsi="Garamond"/>
        </w:rPr>
        <w:t xml:space="preserve">Baker, William D., and John R. O’Neal. 2001. </w:t>
      </w:r>
      <w:r w:rsidR="005A406C">
        <w:rPr>
          <w:rFonts w:ascii="Garamond" w:hAnsi="Garamond"/>
        </w:rPr>
        <w:t>“</w:t>
      </w:r>
      <w:r w:rsidRPr="008D0803">
        <w:rPr>
          <w:rFonts w:ascii="Garamond" w:hAnsi="Garamond"/>
        </w:rPr>
        <w:t>Patriotism or Opinion Leadership?: The Nature and Origins of the ‘Rally 'Round the Flag’ Effect.</w:t>
      </w:r>
      <w:r w:rsidR="005A406C">
        <w:rPr>
          <w:rFonts w:ascii="Garamond" w:hAnsi="Garamond"/>
        </w:rPr>
        <w:t>”</w:t>
      </w:r>
      <w:r w:rsidRPr="008D0803">
        <w:rPr>
          <w:rFonts w:ascii="Garamond" w:hAnsi="Garamond"/>
        </w:rPr>
        <w:t xml:space="preserve"> </w:t>
      </w:r>
      <w:r w:rsidRPr="008D0803">
        <w:rPr>
          <w:rFonts w:ascii="Garamond" w:hAnsi="Garamond"/>
          <w:i/>
          <w:iCs/>
        </w:rPr>
        <w:t>Journal of Conflict Resolution</w:t>
      </w:r>
      <w:r w:rsidR="007634D4" w:rsidRPr="0063486D">
        <w:rPr>
          <w:rFonts w:ascii="Garamond" w:hAnsi="Garamond"/>
        </w:rPr>
        <w:t xml:space="preserve"> 45 (5):</w:t>
      </w:r>
      <w:r w:rsidRPr="008D0803">
        <w:rPr>
          <w:rFonts w:ascii="Garamond" w:hAnsi="Garamond"/>
        </w:rPr>
        <w:t>661–687.</w:t>
      </w:r>
    </w:p>
    <w:p w14:paraId="6D8A0A4D" w14:textId="70FB577A" w:rsidR="00102EBE" w:rsidRPr="008D0803" w:rsidRDefault="00102EBE" w:rsidP="007A5EB9">
      <w:pPr>
        <w:pStyle w:val="Bibliography"/>
        <w:spacing w:line="480" w:lineRule="auto"/>
        <w:rPr>
          <w:rFonts w:ascii="Garamond" w:hAnsi="Garamond"/>
        </w:rPr>
      </w:pPr>
      <w:r w:rsidRPr="008D0803">
        <w:rPr>
          <w:rFonts w:ascii="Garamond" w:hAnsi="Garamond"/>
        </w:rPr>
        <w:t xml:space="preserve">Barno, David, and Nora Bensahel. 2015. </w:t>
      </w:r>
      <w:r w:rsidR="005A406C">
        <w:rPr>
          <w:rFonts w:ascii="Garamond" w:hAnsi="Garamond"/>
        </w:rPr>
        <w:t>“</w:t>
      </w:r>
      <w:r w:rsidRPr="008D0803">
        <w:rPr>
          <w:rFonts w:ascii="Garamond" w:hAnsi="Garamond"/>
        </w:rPr>
        <w:t>The Pink Flamingo on the Subcontinent: Nuclear War between India and Pakistan.</w:t>
      </w:r>
      <w:r w:rsidR="005A406C">
        <w:rPr>
          <w:rFonts w:ascii="Garamond" w:hAnsi="Garamond"/>
        </w:rPr>
        <w:t>”</w:t>
      </w:r>
      <w:r w:rsidRPr="008D0803">
        <w:rPr>
          <w:rFonts w:ascii="Garamond" w:hAnsi="Garamond"/>
        </w:rPr>
        <w:t xml:space="preserve"> </w:t>
      </w:r>
      <w:r w:rsidRPr="008D0803">
        <w:rPr>
          <w:rFonts w:ascii="Garamond" w:hAnsi="Garamond"/>
          <w:i/>
          <w:iCs/>
        </w:rPr>
        <w:t>War on the Rocks</w:t>
      </w:r>
      <w:r w:rsidRPr="008D0803">
        <w:rPr>
          <w:rFonts w:ascii="Garamond" w:hAnsi="Garamond"/>
        </w:rPr>
        <w:t>. Available at &lt;https://warontherocks.com/2015/11/the-pink-flamingo-on-the-subcontinent-nuclear-war-between-india-and-pakistan/&gt;. Accessed 1</w:t>
      </w:r>
      <w:r w:rsidR="003048DF">
        <w:rPr>
          <w:rFonts w:ascii="Garamond" w:hAnsi="Garamond"/>
        </w:rPr>
        <w:t>0 September</w:t>
      </w:r>
      <w:r w:rsidR="000C2D4E">
        <w:rPr>
          <w:rFonts w:ascii="Garamond" w:hAnsi="Garamond"/>
        </w:rPr>
        <w:t xml:space="preserve"> </w:t>
      </w:r>
      <w:r w:rsidRPr="008D0803">
        <w:rPr>
          <w:rFonts w:ascii="Garamond" w:hAnsi="Garamond"/>
        </w:rPr>
        <w:t>2018.</w:t>
      </w:r>
    </w:p>
    <w:p w14:paraId="63BA226F" w14:textId="4D81C529" w:rsidR="00102EBE" w:rsidRPr="008D0803" w:rsidRDefault="00102EBE" w:rsidP="007A5EB9">
      <w:pPr>
        <w:pStyle w:val="Bibliography"/>
        <w:spacing w:line="480" w:lineRule="auto"/>
        <w:rPr>
          <w:rFonts w:ascii="Garamond" w:hAnsi="Garamond"/>
        </w:rPr>
      </w:pPr>
      <w:r w:rsidRPr="008D0803">
        <w:rPr>
          <w:rFonts w:ascii="Garamond" w:hAnsi="Garamond"/>
        </w:rPr>
        <w:lastRenderedPageBreak/>
        <w:t xml:space="preserve">Bell, Mark S., and Kai Quek. 2018. </w:t>
      </w:r>
      <w:r w:rsidR="005A406C">
        <w:rPr>
          <w:rFonts w:ascii="Garamond" w:hAnsi="Garamond"/>
        </w:rPr>
        <w:t>“</w:t>
      </w:r>
      <w:r w:rsidRPr="008D0803">
        <w:rPr>
          <w:rFonts w:ascii="Garamond" w:hAnsi="Garamond"/>
        </w:rPr>
        <w:t>Authoritarian Public Opinion and the Democratic Peace.</w:t>
      </w:r>
      <w:r w:rsidR="005A406C">
        <w:rPr>
          <w:rFonts w:ascii="Garamond" w:hAnsi="Garamond"/>
        </w:rPr>
        <w:t>”</w:t>
      </w:r>
      <w:r w:rsidRPr="008D0803">
        <w:rPr>
          <w:rFonts w:ascii="Garamond" w:hAnsi="Garamond"/>
        </w:rPr>
        <w:t xml:space="preserve"> </w:t>
      </w:r>
      <w:r w:rsidRPr="008D0803">
        <w:rPr>
          <w:rFonts w:ascii="Garamond" w:hAnsi="Garamond"/>
          <w:i/>
          <w:iCs/>
        </w:rPr>
        <w:t>International Organization</w:t>
      </w:r>
      <w:r w:rsidRPr="008D0803">
        <w:rPr>
          <w:rFonts w:ascii="Garamond" w:hAnsi="Garamond"/>
        </w:rPr>
        <w:t xml:space="preserve"> 72 (1):227–242.</w:t>
      </w:r>
    </w:p>
    <w:p w14:paraId="76C7DCE7" w14:textId="27683289" w:rsidR="00102EBE" w:rsidRPr="008D0803" w:rsidRDefault="00102EBE" w:rsidP="007A5EB9">
      <w:pPr>
        <w:pStyle w:val="Bibliography"/>
        <w:spacing w:line="480" w:lineRule="auto"/>
        <w:rPr>
          <w:rFonts w:ascii="Garamond" w:hAnsi="Garamond"/>
        </w:rPr>
      </w:pPr>
      <w:r w:rsidRPr="008D0803">
        <w:rPr>
          <w:rFonts w:ascii="Garamond" w:hAnsi="Garamond"/>
        </w:rPr>
        <w:t xml:space="preserve">Berinsky, Adam J., Kai Quek, and Michael Sances. 2012. </w:t>
      </w:r>
      <w:r w:rsidR="005A406C">
        <w:rPr>
          <w:rFonts w:ascii="Garamond" w:hAnsi="Garamond"/>
        </w:rPr>
        <w:t>“</w:t>
      </w:r>
      <w:r w:rsidRPr="008D0803">
        <w:rPr>
          <w:rFonts w:ascii="Garamond" w:hAnsi="Garamond"/>
        </w:rPr>
        <w:t>Conducting Online Experiments on Mechanical Turk.</w:t>
      </w:r>
      <w:r w:rsidR="005A406C">
        <w:rPr>
          <w:rFonts w:ascii="Garamond" w:hAnsi="Garamond"/>
        </w:rPr>
        <w:t>”</w:t>
      </w:r>
      <w:r w:rsidRPr="008D0803">
        <w:rPr>
          <w:rFonts w:ascii="Garamond" w:hAnsi="Garamond"/>
        </w:rPr>
        <w:t xml:space="preserve"> </w:t>
      </w:r>
      <w:r w:rsidRPr="008D0803">
        <w:rPr>
          <w:rFonts w:ascii="Garamond" w:hAnsi="Garamond"/>
          <w:i/>
          <w:iCs/>
        </w:rPr>
        <w:t>The Experimental Political Scientist</w:t>
      </w:r>
      <w:r w:rsidRPr="008D0803">
        <w:rPr>
          <w:rFonts w:ascii="Garamond" w:hAnsi="Garamond"/>
        </w:rPr>
        <w:t xml:space="preserve"> 3 (1):2–6.</w:t>
      </w:r>
    </w:p>
    <w:p w14:paraId="6C728F4A" w14:textId="16F05C7F" w:rsidR="00102EBE" w:rsidRPr="008D0803" w:rsidRDefault="00102EBE" w:rsidP="007A5EB9">
      <w:pPr>
        <w:pStyle w:val="Bibliography"/>
        <w:spacing w:line="480" w:lineRule="auto"/>
        <w:rPr>
          <w:rFonts w:ascii="Garamond" w:hAnsi="Garamond"/>
        </w:rPr>
      </w:pPr>
      <w:r w:rsidRPr="008D0803">
        <w:rPr>
          <w:rFonts w:ascii="Garamond" w:hAnsi="Garamond"/>
        </w:rPr>
        <w:t xml:space="preserve">Boix, Carles, Michael Miller, and Sebastian Rosato. 2013. </w:t>
      </w:r>
      <w:r w:rsidR="005A406C">
        <w:rPr>
          <w:rFonts w:ascii="Garamond" w:hAnsi="Garamond"/>
        </w:rPr>
        <w:t>“</w:t>
      </w:r>
      <w:r w:rsidRPr="008D0803">
        <w:rPr>
          <w:rFonts w:ascii="Garamond" w:hAnsi="Garamond"/>
        </w:rPr>
        <w:t>A Complete Data Set of Political Regimes, 1800–2007.</w:t>
      </w:r>
      <w:r w:rsidR="005A406C">
        <w:rPr>
          <w:rFonts w:ascii="Garamond" w:hAnsi="Garamond"/>
        </w:rPr>
        <w:t>”</w:t>
      </w:r>
      <w:r w:rsidRPr="008D0803">
        <w:rPr>
          <w:rFonts w:ascii="Garamond" w:hAnsi="Garamond"/>
        </w:rPr>
        <w:t xml:space="preserve"> </w:t>
      </w:r>
      <w:r w:rsidRPr="008D0803">
        <w:rPr>
          <w:rFonts w:ascii="Garamond" w:hAnsi="Garamond"/>
          <w:i/>
          <w:iCs/>
        </w:rPr>
        <w:t>Comparative Political Studies</w:t>
      </w:r>
      <w:r w:rsidR="000F5E3A" w:rsidRPr="0063486D">
        <w:rPr>
          <w:rFonts w:ascii="Garamond" w:hAnsi="Garamond"/>
        </w:rPr>
        <w:t xml:space="preserve"> 46 (12):</w:t>
      </w:r>
      <w:r w:rsidRPr="008D0803">
        <w:rPr>
          <w:rFonts w:ascii="Garamond" w:hAnsi="Garamond"/>
        </w:rPr>
        <w:t>1523–1554.</w:t>
      </w:r>
    </w:p>
    <w:p w14:paraId="01EFF004" w14:textId="3979C411" w:rsidR="00102EBE" w:rsidRPr="008D0803" w:rsidRDefault="00102EBE" w:rsidP="007A5EB9">
      <w:pPr>
        <w:pStyle w:val="Bibliography"/>
        <w:spacing w:line="480" w:lineRule="auto"/>
        <w:rPr>
          <w:rFonts w:ascii="Garamond" w:hAnsi="Garamond"/>
        </w:rPr>
      </w:pPr>
      <w:r w:rsidRPr="008D0803">
        <w:rPr>
          <w:rFonts w:ascii="Garamond" w:hAnsi="Garamond"/>
        </w:rPr>
        <w:t xml:space="preserve">Brooks, Stephen G. 2005. </w:t>
      </w:r>
      <w:r w:rsidRPr="008D0803">
        <w:rPr>
          <w:rFonts w:ascii="Garamond" w:hAnsi="Garamond"/>
          <w:i/>
          <w:iCs/>
        </w:rPr>
        <w:t>Producing Security: Multinational Corporations, Globalization, and the Changing Calculus of Conflict</w:t>
      </w:r>
      <w:r w:rsidRPr="008D0803">
        <w:rPr>
          <w:rFonts w:ascii="Garamond" w:hAnsi="Garamond"/>
        </w:rPr>
        <w:t xml:space="preserve">. </w:t>
      </w:r>
      <w:r w:rsidR="008D63C4" w:rsidRPr="00A11762">
        <w:rPr>
          <w:rFonts w:ascii="Garamond" w:hAnsi="Garamond"/>
        </w:rPr>
        <w:t xml:space="preserve">Princeton, NJ: </w:t>
      </w:r>
      <w:r w:rsidRPr="008D0803">
        <w:rPr>
          <w:rFonts w:ascii="Garamond" w:hAnsi="Garamond"/>
        </w:rPr>
        <w:t>Princeton University Press.</w:t>
      </w:r>
    </w:p>
    <w:p w14:paraId="6CD76CBE" w14:textId="7AE689B7" w:rsidR="00102EBE" w:rsidRPr="008D0803" w:rsidRDefault="00102EBE" w:rsidP="007A5EB9">
      <w:pPr>
        <w:pStyle w:val="Bibliography"/>
        <w:spacing w:line="480" w:lineRule="auto"/>
        <w:rPr>
          <w:rFonts w:ascii="Garamond" w:hAnsi="Garamond"/>
        </w:rPr>
      </w:pPr>
      <w:r w:rsidRPr="008D0803">
        <w:rPr>
          <w:rFonts w:ascii="Garamond" w:hAnsi="Garamond"/>
        </w:rPr>
        <w:t xml:space="preserve">Carson, Austin. 2016. </w:t>
      </w:r>
      <w:r w:rsidR="005A406C">
        <w:rPr>
          <w:rFonts w:ascii="Garamond" w:hAnsi="Garamond"/>
        </w:rPr>
        <w:t>“</w:t>
      </w:r>
      <w:r w:rsidRPr="008D0803">
        <w:rPr>
          <w:rFonts w:ascii="Garamond" w:hAnsi="Garamond"/>
        </w:rPr>
        <w:t>Facing Off and Saving Face: Covert Intervention and Escalation Management in the Korean War.</w:t>
      </w:r>
      <w:r w:rsidR="005A406C">
        <w:rPr>
          <w:rFonts w:ascii="Garamond" w:hAnsi="Garamond"/>
        </w:rPr>
        <w:t>”</w:t>
      </w:r>
      <w:r w:rsidRPr="008D0803">
        <w:rPr>
          <w:rFonts w:ascii="Garamond" w:hAnsi="Garamond"/>
        </w:rPr>
        <w:t xml:space="preserve"> </w:t>
      </w:r>
      <w:r w:rsidRPr="008D0803">
        <w:rPr>
          <w:rFonts w:ascii="Garamond" w:hAnsi="Garamond"/>
          <w:i/>
          <w:iCs/>
        </w:rPr>
        <w:t>International Organization</w:t>
      </w:r>
      <w:r w:rsidR="0053239F" w:rsidRPr="0063486D">
        <w:rPr>
          <w:rFonts w:ascii="Garamond" w:hAnsi="Garamond"/>
        </w:rPr>
        <w:t xml:space="preserve"> 70 (1):</w:t>
      </w:r>
      <w:r w:rsidRPr="008D0803">
        <w:rPr>
          <w:rFonts w:ascii="Garamond" w:hAnsi="Garamond"/>
        </w:rPr>
        <w:t>103–131.</w:t>
      </w:r>
    </w:p>
    <w:p w14:paraId="1F73A412" w14:textId="2CD6D45D" w:rsidR="00102EBE" w:rsidRPr="008D0803" w:rsidRDefault="00102EBE" w:rsidP="007A5EB9">
      <w:pPr>
        <w:pStyle w:val="Bibliography"/>
        <w:spacing w:line="480" w:lineRule="auto"/>
        <w:rPr>
          <w:rFonts w:ascii="Garamond" w:hAnsi="Garamond"/>
        </w:rPr>
      </w:pPr>
      <w:r w:rsidRPr="008D0803">
        <w:rPr>
          <w:rFonts w:ascii="Garamond" w:hAnsi="Garamond"/>
        </w:rPr>
        <w:t xml:space="preserve">Cheibub, José Antonio, Jennifer Gandhi, and James Raymond Vreeland. 2010. </w:t>
      </w:r>
      <w:r w:rsidR="005A406C">
        <w:rPr>
          <w:rFonts w:ascii="Garamond" w:hAnsi="Garamond"/>
        </w:rPr>
        <w:t>“</w:t>
      </w:r>
      <w:r w:rsidRPr="008D0803">
        <w:rPr>
          <w:rFonts w:ascii="Garamond" w:hAnsi="Garamond"/>
        </w:rPr>
        <w:t>Democracy and Dictatorship Revisited.</w:t>
      </w:r>
      <w:r w:rsidR="005A406C">
        <w:rPr>
          <w:rFonts w:ascii="Garamond" w:hAnsi="Garamond"/>
        </w:rPr>
        <w:t>”</w:t>
      </w:r>
      <w:r w:rsidRPr="008D0803">
        <w:rPr>
          <w:rFonts w:ascii="Garamond" w:hAnsi="Garamond"/>
        </w:rPr>
        <w:t xml:space="preserve"> </w:t>
      </w:r>
      <w:r w:rsidRPr="008D0803">
        <w:rPr>
          <w:rFonts w:ascii="Garamond" w:hAnsi="Garamond"/>
          <w:i/>
          <w:iCs/>
        </w:rPr>
        <w:t>Public Choice</w:t>
      </w:r>
      <w:r w:rsidR="0053239F" w:rsidRPr="0063486D">
        <w:rPr>
          <w:rFonts w:ascii="Garamond" w:hAnsi="Garamond"/>
        </w:rPr>
        <w:t xml:space="preserve"> 143 (1):</w:t>
      </w:r>
      <w:r w:rsidRPr="008D0803">
        <w:rPr>
          <w:rFonts w:ascii="Garamond" w:hAnsi="Garamond"/>
        </w:rPr>
        <w:t>67–101.</w:t>
      </w:r>
    </w:p>
    <w:p w14:paraId="326A1870" w14:textId="201F270F" w:rsidR="00102EBE" w:rsidRPr="008D0803" w:rsidRDefault="00102EBE" w:rsidP="007A5EB9">
      <w:pPr>
        <w:pStyle w:val="Bibliography"/>
        <w:spacing w:line="480" w:lineRule="auto"/>
        <w:rPr>
          <w:rFonts w:ascii="Garamond" w:hAnsi="Garamond"/>
        </w:rPr>
      </w:pPr>
      <w:r w:rsidRPr="008D0803">
        <w:rPr>
          <w:rFonts w:ascii="Garamond" w:hAnsi="Garamond"/>
        </w:rPr>
        <w:t xml:space="preserve">Cho, Hyun-Binn. 2018. </w:t>
      </w:r>
      <w:r w:rsidR="005A406C">
        <w:rPr>
          <w:rFonts w:ascii="Garamond" w:hAnsi="Garamond"/>
        </w:rPr>
        <w:t>“</w:t>
      </w:r>
      <w:r w:rsidRPr="008D0803">
        <w:rPr>
          <w:rFonts w:ascii="Garamond" w:hAnsi="Garamond"/>
        </w:rPr>
        <w:t>Provocation and Audience Costs: An Experimental Approach.</w:t>
      </w:r>
      <w:r w:rsidR="005A406C">
        <w:rPr>
          <w:rFonts w:ascii="Garamond" w:hAnsi="Garamond"/>
        </w:rPr>
        <w:t>”</w:t>
      </w:r>
      <w:r w:rsidRPr="008D0803">
        <w:rPr>
          <w:rFonts w:ascii="Garamond" w:hAnsi="Garamond"/>
        </w:rPr>
        <w:t xml:space="preserve"> Working Paper.</w:t>
      </w:r>
    </w:p>
    <w:p w14:paraId="2B38489F" w14:textId="292556AE" w:rsidR="00102EBE" w:rsidRPr="008D0803" w:rsidRDefault="00102EBE" w:rsidP="007A5EB9">
      <w:pPr>
        <w:pStyle w:val="Bibliography"/>
        <w:spacing w:line="480" w:lineRule="auto"/>
        <w:rPr>
          <w:rFonts w:ascii="Garamond" w:hAnsi="Garamond"/>
        </w:rPr>
      </w:pPr>
      <w:r w:rsidRPr="008D0803">
        <w:rPr>
          <w:rFonts w:ascii="Garamond" w:hAnsi="Garamond"/>
        </w:rPr>
        <w:t>Cho, Hyun-Bin</w:t>
      </w:r>
      <w:r w:rsidR="00FD48F5">
        <w:rPr>
          <w:rFonts w:ascii="Garamond" w:hAnsi="Garamond"/>
        </w:rPr>
        <w:t>n. 2017</w:t>
      </w:r>
      <w:r w:rsidRPr="008D0803">
        <w:rPr>
          <w:rFonts w:ascii="Garamond" w:hAnsi="Garamond"/>
        </w:rPr>
        <w:t xml:space="preserve">. </w:t>
      </w:r>
      <w:r w:rsidR="005A406C">
        <w:rPr>
          <w:rFonts w:ascii="Garamond" w:hAnsi="Garamond"/>
        </w:rPr>
        <w:t>“</w:t>
      </w:r>
      <w:r w:rsidRPr="008D0803">
        <w:rPr>
          <w:rFonts w:ascii="Garamond" w:hAnsi="Garamond"/>
        </w:rPr>
        <w:t>Provocation, Crisis Escalation, and Inadvertent War.</w:t>
      </w:r>
      <w:r w:rsidR="005A406C">
        <w:rPr>
          <w:rFonts w:ascii="Garamond" w:hAnsi="Garamond"/>
        </w:rPr>
        <w:t>”</w:t>
      </w:r>
      <w:r w:rsidRPr="008D0803">
        <w:rPr>
          <w:rFonts w:ascii="Garamond" w:hAnsi="Garamond"/>
        </w:rPr>
        <w:t xml:space="preserve"> Working Paper.</w:t>
      </w:r>
    </w:p>
    <w:p w14:paraId="0D88858B" w14:textId="1F2B75B9" w:rsidR="008D0803" w:rsidRDefault="008D0803" w:rsidP="007A5EB9">
      <w:pPr>
        <w:pStyle w:val="Bibliography"/>
        <w:spacing w:line="480" w:lineRule="auto"/>
        <w:rPr>
          <w:rFonts w:ascii="Garamond" w:hAnsi="Garamond"/>
        </w:rPr>
      </w:pPr>
      <w:r w:rsidRPr="00983C1D">
        <w:rPr>
          <w:rFonts w:ascii="Garamond" w:hAnsi="Garamond"/>
        </w:rPr>
        <w:t xml:space="preserve">Coll, </w:t>
      </w:r>
      <w:r w:rsidR="00A12330" w:rsidRPr="00983C1D">
        <w:rPr>
          <w:rFonts w:ascii="Garamond" w:hAnsi="Garamond"/>
        </w:rPr>
        <w:t xml:space="preserve">Steve. </w:t>
      </w:r>
      <w:r w:rsidR="00773405" w:rsidRPr="00983C1D">
        <w:rPr>
          <w:rFonts w:ascii="Garamond" w:hAnsi="Garamond"/>
        </w:rPr>
        <w:t>2018.</w:t>
      </w:r>
      <w:r w:rsidR="00773405">
        <w:rPr>
          <w:rFonts w:ascii="Garamond" w:hAnsi="Garamond"/>
        </w:rPr>
        <w:t xml:space="preserve"> </w:t>
      </w:r>
      <w:r w:rsidR="00EF675E" w:rsidRPr="007A5EB9">
        <w:rPr>
          <w:rFonts w:ascii="Garamond" w:hAnsi="Garamond"/>
          <w:i/>
        </w:rPr>
        <w:t>Directorate S: The CIA and America’s Secret Wars in Afghanistan and Pakistan</w:t>
      </w:r>
      <w:r w:rsidR="00EF675E">
        <w:rPr>
          <w:rFonts w:ascii="Garamond" w:hAnsi="Garamond"/>
        </w:rPr>
        <w:t>. New York: Penguin</w:t>
      </w:r>
    </w:p>
    <w:p w14:paraId="2946BDA0" w14:textId="267F596D" w:rsidR="00102EBE" w:rsidRPr="008D0803" w:rsidRDefault="00102EBE" w:rsidP="007A5EB9">
      <w:pPr>
        <w:pStyle w:val="Bibliography"/>
        <w:spacing w:line="480" w:lineRule="auto"/>
        <w:rPr>
          <w:rFonts w:ascii="Garamond" w:hAnsi="Garamond"/>
        </w:rPr>
      </w:pPr>
      <w:r w:rsidRPr="008D0803">
        <w:rPr>
          <w:rFonts w:ascii="Garamond" w:hAnsi="Garamond"/>
        </w:rPr>
        <w:t xml:space="preserve">Collier, David, and Steven Levitsky. 1997. </w:t>
      </w:r>
      <w:r w:rsidR="005A406C">
        <w:rPr>
          <w:rFonts w:ascii="Garamond" w:hAnsi="Garamond"/>
        </w:rPr>
        <w:t>“</w:t>
      </w:r>
      <w:r w:rsidRPr="008D0803">
        <w:rPr>
          <w:rFonts w:ascii="Garamond" w:hAnsi="Garamond"/>
        </w:rPr>
        <w:t>Democracy with Adjectives: Conceptual Innovation in Comparative Research.</w:t>
      </w:r>
      <w:r w:rsidR="005A406C">
        <w:rPr>
          <w:rFonts w:ascii="Garamond" w:hAnsi="Garamond"/>
        </w:rPr>
        <w:t>”</w:t>
      </w:r>
      <w:r w:rsidRPr="008D0803">
        <w:rPr>
          <w:rFonts w:ascii="Garamond" w:hAnsi="Garamond"/>
        </w:rPr>
        <w:t xml:space="preserve"> </w:t>
      </w:r>
      <w:r w:rsidRPr="008D0803">
        <w:rPr>
          <w:rFonts w:ascii="Garamond" w:hAnsi="Garamond"/>
          <w:i/>
          <w:iCs/>
        </w:rPr>
        <w:t>World Politics</w:t>
      </w:r>
      <w:r w:rsidR="0053239F" w:rsidRPr="0063486D">
        <w:rPr>
          <w:rFonts w:ascii="Garamond" w:hAnsi="Garamond"/>
        </w:rPr>
        <w:t xml:space="preserve"> 49 (3):</w:t>
      </w:r>
      <w:r w:rsidRPr="008D0803">
        <w:rPr>
          <w:rFonts w:ascii="Garamond" w:hAnsi="Garamond"/>
        </w:rPr>
        <w:t>430–451.</w:t>
      </w:r>
    </w:p>
    <w:p w14:paraId="19E57001" w14:textId="11067E38" w:rsidR="00102EBE" w:rsidRPr="008D0803" w:rsidRDefault="00102EBE" w:rsidP="007A5EB9">
      <w:pPr>
        <w:pStyle w:val="Bibliography"/>
        <w:spacing w:line="480" w:lineRule="auto"/>
        <w:rPr>
          <w:rFonts w:ascii="Garamond" w:hAnsi="Garamond"/>
        </w:rPr>
      </w:pPr>
      <w:r w:rsidRPr="008D0803">
        <w:rPr>
          <w:rFonts w:ascii="Garamond" w:hAnsi="Garamond"/>
        </w:rPr>
        <w:t>Cowen, Tyler</w:t>
      </w:r>
      <w:r w:rsidR="0053239F" w:rsidRPr="0063486D">
        <w:rPr>
          <w:rFonts w:ascii="Garamond" w:hAnsi="Garamond"/>
        </w:rPr>
        <w:t xml:space="preserve">, and Daniel Sutter. 1998. </w:t>
      </w:r>
      <w:r w:rsidR="005A406C">
        <w:rPr>
          <w:rFonts w:ascii="Garamond" w:hAnsi="Garamond"/>
        </w:rPr>
        <w:t>“</w:t>
      </w:r>
      <w:r w:rsidR="0053239F" w:rsidRPr="0063486D">
        <w:rPr>
          <w:rFonts w:ascii="Garamond" w:hAnsi="Garamond"/>
        </w:rPr>
        <w:t xml:space="preserve">Why </w:t>
      </w:r>
      <w:r w:rsidR="0053239F">
        <w:rPr>
          <w:rFonts w:ascii="Garamond" w:hAnsi="Garamond"/>
        </w:rPr>
        <w:t>O</w:t>
      </w:r>
      <w:r w:rsidR="0053239F" w:rsidRPr="0063486D">
        <w:rPr>
          <w:rFonts w:ascii="Garamond" w:hAnsi="Garamond"/>
        </w:rPr>
        <w:t xml:space="preserve">nly Nixon </w:t>
      </w:r>
      <w:r w:rsidR="0053239F">
        <w:rPr>
          <w:rFonts w:ascii="Garamond" w:hAnsi="Garamond"/>
        </w:rPr>
        <w:t>C</w:t>
      </w:r>
      <w:r w:rsidRPr="008D0803">
        <w:rPr>
          <w:rFonts w:ascii="Garamond" w:hAnsi="Garamond"/>
        </w:rPr>
        <w:t>oul</w:t>
      </w:r>
      <w:r w:rsidR="0053239F" w:rsidRPr="0063486D">
        <w:rPr>
          <w:rFonts w:ascii="Garamond" w:hAnsi="Garamond"/>
        </w:rPr>
        <w:t xml:space="preserve">d </w:t>
      </w:r>
      <w:r w:rsidR="0053239F">
        <w:rPr>
          <w:rFonts w:ascii="Garamond" w:hAnsi="Garamond"/>
        </w:rPr>
        <w:t>G</w:t>
      </w:r>
      <w:r w:rsidRPr="008D0803">
        <w:rPr>
          <w:rFonts w:ascii="Garamond" w:hAnsi="Garamond"/>
        </w:rPr>
        <w:t>o to China.</w:t>
      </w:r>
      <w:r w:rsidR="005A406C">
        <w:rPr>
          <w:rFonts w:ascii="Garamond" w:hAnsi="Garamond"/>
        </w:rPr>
        <w:t>”</w:t>
      </w:r>
      <w:r w:rsidRPr="008D0803">
        <w:rPr>
          <w:rFonts w:ascii="Garamond" w:hAnsi="Garamond"/>
        </w:rPr>
        <w:t xml:space="preserve"> </w:t>
      </w:r>
      <w:r w:rsidRPr="008D0803">
        <w:rPr>
          <w:rFonts w:ascii="Garamond" w:hAnsi="Garamond"/>
          <w:i/>
          <w:iCs/>
        </w:rPr>
        <w:t>Public Choice</w:t>
      </w:r>
      <w:r w:rsidRPr="008D0803">
        <w:rPr>
          <w:rFonts w:ascii="Garamond" w:hAnsi="Garamond"/>
        </w:rPr>
        <w:t xml:space="preserve"> 97 (4):605–615.</w:t>
      </w:r>
    </w:p>
    <w:p w14:paraId="120697C7" w14:textId="1CE48816" w:rsidR="00102EBE" w:rsidRPr="008D0803" w:rsidRDefault="00102EBE" w:rsidP="007A5EB9">
      <w:pPr>
        <w:pStyle w:val="Bibliography"/>
        <w:spacing w:line="480" w:lineRule="auto"/>
        <w:rPr>
          <w:rFonts w:ascii="Garamond" w:hAnsi="Garamond"/>
        </w:rPr>
      </w:pPr>
      <w:r w:rsidRPr="008D0803">
        <w:rPr>
          <w:rFonts w:ascii="Garamond" w:hAnsi="Garamond"/>
        </w:rPr>
        <w:t xml:space="preserve">Cukierman, Alex, and Mariano Tommasi. 1998. </w:t>
      </w:r>
      <w:r w:rsidR="005A406C">
        <w:rPr>
          <w:rFonts w:ascii="Garamond" w:hAnsi="Garamond"/>
        </w:rPr>
        <w:t>“</w:t>
      </w:r>
      <w:r w:rsidRPr="008D0803">
        <w:rPr>
          <w:rFonts w:ascii="Garamond" w:hAnsi="Garamond"/>
        </w:rPr>
        <w:t>When Does It Take a Nixon to Go to China?</w:t>
      </w:r>
      <w:r w:rsidR="005A406C">
        <w:rPr>
          <w:rFonts w:ascii="Garamond" w:hAnsi="Garamond"/>
        </w:rPr>
        <w:t>”</w:t>
      </w:r>
      <w:r w:rsidRPr="008D0803">
        <w:rPr>
          <w:rFonts w:ascii="Garamond" w:hAnsi="Garamond"/>
        </w:rPr>
        <w:t xml:space="preserve"> </w:t>
      </w:r>
      <w:r w:rsidRPr="008D0803">
        <w:rPr>
          <w:rFonts w:ascii="Garamond" w:hAnsi="Garamond"/>
          <w:i/>
          <w:iCs/>
        </w:rPr>
        <w:t>American Economic Review</w:t>
      </w:r>
      <w:r w:rsidR="00DC7D72" w:rsidRPr="0063486D">
        <w:rPr>
          <w:rFonts w:ascii="Garamond" w:hAnsi="Garamond"/>
        </w:rPr>
        <w:t xml:space="preserve"> 88 (1):</w:t>
      </w:r>
      <w:r w:rsidRPr="008D0803">
        <w:rPr>
          <w:rFonts w:ascii="Garamond" w:hAnsi="Garamond"/>
        </w:rPr>
        <w:t>180–197.</w:t>
      </w:r>
    </w:p>
    <w:p w14:paraId="21F976BA" w14:textId="7A20BB0D" w:rsidR="00102EBE" w:rsidRPr="008D0803" w:rsidRDefault="00102EBE" w:rsidP="007A5EB9">
      <w:pPr>
        <w:pStyle w:val="Bibliography"/>
        <w:spacing w:line="480" w:lineRule="auto"/>
        <w:rPr>
          <w:rFonts w:ascii="Garamond" w:hAnsi="Garamond"/>
        </w:rPr>
      </w:pPr>
      <w:r w:rsidRPr="008D0803">
        <w:rPr>
          <w:rFonts w:ascii="Garamond" w:hAnsi="Garamond"/>
        </w:rPr>
        <w:t xml:space="preserve">Dafoe, Allan, Sophia Hatz, and Baobao Zhang. 2017. </w:t>
      </w:r>
      <w:r w:rsidR="005A406C">
        <w:rPr>
          <w:rFonts w:ascii="Garamond" w:hAnsi="Garamond"/>
        </w:rPr>
        <w:t>“</w:t>
      </w:r>
      <w:r w:rsidRPr="008D0803">
        <w:rPr>
          <w:rFonts w:ascii="Garamond" w:hAnsi="Garamond"/>
        </w:rPr>
        <w:t>Coercion and Provocation.</w:t>
      </w:r>
      <w:r w:rsidR="005A406C">
        <w:rPr>
          <w:rFonts w:ascii="Garamond" w:hAnsi="Garamond"/>
        </w:rPr>
        <w:t>”</w:t>
      </w:r>
      <w:r w:rsidRPr="008D0803">
        <w:rPr>
          <w:rFonts w:ascii="Garamond" w:hAnsi="Garamond"/>
        </w:rPr>
        <w:t xml:space="preserve"> Working Paper.</w:t>
      </w:r>
    </w:p>
    <w:p w14:paraId="7A4C7158" w14:textId="4238FADB" w:rsidR="00102EBE" w:rsidRPr="008D0803" w:rsidRDefault="00102EBE" w:rsidP="007A5EB9">
      <w:pPr>
        <w:pStyle w:val="Bibliography"/>
        <w:spacing w:line="480" w:lineRule="auto"/>
        <w:rPr>
          <w:rFonts w:ascii="Garamond" w:hAnsi="Garamond"/>
        </w:rPr>
      </w:pPr>
      <w:r w:rsidRPr="008D0803">
        <w:rPr>
          <w:rFonts w:ascii="Garamond" w:hAnsi="Garamond"/>
        </w:rPr>
        <w:lastRenderedPageBreak/>
        <w:t xml:space="preserve">Dafoe, Allan, and Jessica Chen Weiss. 2018. </w:t>
      </w:r>
      <w:r w:rsidR="005A406C">
        <w:rPr>
          <w:rFonts w:ascii="Garamond" w:hAnsi="Garamond"/>
        </w:rPr>
        <w:t>“</w:t>
      </w:r>
      <w:r w:rsidRPr="008D0803">
        <w:rPr>
          <w:rFonts w:ascii="Garamond" w:hAnsi="Garamond"/>
        </w:rPr>
        <w:t>Authoritarian Audiences and Government Rhetoric in International Crises: Evidence from China.</w:t>
      </w:r>
      <w:r w:rsidR="005A406C">
        <w:rPr>
          <w:rFonts w:ascii="Garamond" w:hAnsi="Garamond"/>
        </w:rPr>
        <w:t>”</w:t>
      </w:r>
      <w:r w:rsidRPr="008D0803">
        <w:rPr>
          <w:rFonts w:ascii="Garamond" w:hAnsi="Garamond"/>
        </w:rPr>
        <w:t xml:space="preserve"> Working Paper.</w:t>
      </w:r>
    </w:p>
    <w:p w14:paraId="61A52A83" w14:textId="449C71F0" w:rsidR="00102EBE" w:rsidRPr="008D0803" w:rsidRDefault="00102EBE" w:rsidP="007A5EB9">
      <w:pPr>
        <w:pStyle w:val="Bibliography"/>
        <w:spacing w:line="480" w:lineRule="auto"/>
        <w:rPr>
          <w:rFonts w:ascii="Garamond" w:hAnsi="Garamond"/>
        </w:rPr>
      </w:pPr>
      <w:r w:rsidRPr="008D0803">
        <w:rPr>
          <w:rFonts w:ascii="Garamond" w:hAnsi="Garamond"/>
        </w:rPr>
        <w:t xml:space="preserve">Dafoe, Allan, and Jessica Chen Weiss. 2017. </w:t>
      </w:r>
      <w:r w:rsidR="005A406C">
        <w:rPr>
          <w:rFonts w:ascii="Garamond" w:hAnsi="Garamond"/>
        </w:rPr>
        <w:t>“</w:t>
      </w:r>
      <w:r w:rsidRPr="008D0803">
        <w:rPr>
          <w:rFonts w:ascii="Garamond" w:hAnsi="Garamond"/>
        </w:rPr>
        <w:t>Provocation, Public Opinion, and International Crises: Evidence from China.</w:t>
      </w:r>
      <w:r w:rsidR="005A406C">
        <w:rPr>
          <w:rFonts w:ascii="Garamond" w:hAnsi="Garamond"/>
        </w:rPr>
        <w:t>”</w:t>
      </w:r>
      <w:r w:rsidRPr="008D0803">
        <w:rPr>
          <w:rFonts w:ascii="Garamond" w:hAnsi="Garamond"/>
        </w:rPr>
        <w:t xml:space="preserve"> Working Paper.</w:t>
      </w:r>
    </w:p>
    <w:p w14:paraId="185CD303" w14:textId="388BA1B6" w:rsidR="00102EBE" w:rsidRPr="008D0803" w:rsidRDefault="00102EBE" w:rsidP="007A5EB9">
      <w:pPr>
        <w:pStyle w:val="Bibliography"/>
        <w:spacing w:line="480" w:lineRule="auto"/>
        <w:rPr>
          <w:rFonts w:ascii="Garamond" w:hAnsi="Garamond"/>
        </w:rPr>
      </w:pPr>
      <w:r w:rsidRPr="008D0803">
        <w:rPr>
          <w:rFonts w:ascii="Garamond" w:hAnsi="Garamond"/>
        </w:rPr>
        <w:t xml:space="preserve">Darnton, Christopher. 2014. </w:t>
      </w:r>
      <w:r w:rsidRPr="008D0803">
        <w:rPr>
          <w:rFonts w:ascii="Garamond" w:hAnsi="Garamond"/>
          <w:i/>
          <w:iCs/>
        </w:rPr>
        <w:t>Rivalry and Alliance Politics in Cold War Latin America</w:t>
      </w:r>
      <w:r w:rsidRPr="008D0803">
        <w:rPr>
          <w:rFonts w:ascii="Garamond" w:hAnsi="Garamond"/>
        </w:rPr>
        <w:t xml:space="preserve">. Baltimore, MD: Johns Hopkins </w:t>
      </w:r>
      <w:r w:rsidR="009A1B38" w:rsidRPr="0063486D">
        <w:rPr>
          <w:rFonts w:ascii="Garamond" w:hAnsi="Garamond"/>
        </w:rPr>
        <w:t>University P</w:t>
      </w:r>
      <w:r w:rsidR="00686BE6" w:rsidRPr="0063486D">
        <w:rPr>
          <w:rFonts w:ascii="Garamond" w:hAnsi="Garamond"/>
        </w:rPr>
        <w:t>ress</w:t>
      </w:r>
      <w:r w:rsidR="00686BE6">
        <w:rPr>
          <w:rFonts w:ascii="Garamond" w:hAnsi="Garamond"/>
        </w:rPr>
        <w:t>.</w:t>
      </w:r>
    </w:p>
    <w:p w14:paraId="3C17D163" w14:textId="529C6BD2" w:rsidR="00102EBE" w:rsidRPr="008D0803" w:rsidRDefault="00102EBE" w:rsidP="007A5EB9">
      <w:pPr>
        <w:pStyle w:val="Bibliography"/>
        <w:spacing w:line="480" w:lineRule="auto"/>
        <w:rPr>
          <w:rFonts w:ascii="Garamond" w:hAnsi="Garamond"/>
        </w:rPr>
      </w:pPr>
      <w:r w:rsidRPr="008D0803">
        <w:rPr>
          <w:rFonts w:ascii="Garamond" w:hAnsi="Garamond"/>
        </w:rPr>
        <w:t>Davies, Graeme A. M., and Robe</w:t>
      </w:r>
      <w:r w:rsidR="007C6226" w:rsidRPr="0063486D">
        <w:rPr>
          <w:rFonts w:ascii="Garamond" w:hAnsi="Garamond"/>
        </w:rPr>
        <w:t xml:space="preserve">rt Johns. 2013. </w:t>
      </w:r>
      <w:r w:rsidR="005A406C">
        <w:rPr>
          <w:rFonts w:ascii="Garamond" w:hAnsi="Garamond"/>
        </w:rPr>
        <w:t>“</w:t>
      </w:r>
      <w:r w:rsidR="007C6226" w:rsidRPr="0063486D">
        <w:rPr>
          <w:rFonts w:ascii="Garamond" w:hAnsi="Garamond"/>
        </w:rPr>
        <w:t xml:space="preserve">Audience Costs </w:t>
      </w:r>
      <w:r w:rsidR="00EF675E">
        <w:rPr>
          <w:rFonts w:ascii="Garamond" w:hAnsi="Garamond"/>
        </w:rPr>
        <w:t>A</w:t>
      </w:r>
      <w:r w:rsidRPr="008D0803">
        <w:rPr>
          <w:rFonts w:ascii="Garamond" w:hAnsi="Garamond"/>
        </w:rPr>
        <w:t>mong the British Public: The Impact of Escalation, Crisis Type, and Prime Ministerial Rhetoric.</w:t>
      </w:r>
      <w:r w:rsidR="005A406C">
        <w:rPr>
          <w:rFonts w:ascii="Garamond" w:hAnsi="Garamond"/>
        </w:rPr>
        <w:t>”</w:t>
      </w:r>
      <w:r w:rsidRPr="008D0803">
        <w:rPr>
          <w:rFonts w:ascii="Garamond" w:hAnsi="Garamond"/>
        </w:rPr>
        <w:t xml:space="preserve"> </w:t>
      </w:r>
      <w:r w:rsidRPr="008D0803">
        <w:rPr>
          <w:rFonts w:ascii="Garamond" w:hAnsi="Garamond"/>
          <w:i/>
          <w:iCs/>
        </w:rPr>
        <w:t>International Studies Quarterly</w:t>
      </w:r>
      <w:r w:rsidR="005B0AE9" w:rsidRPr="0063486D">
        <w:rPr>
          <w:rFonts w:ascii="Garamond" w:hAnsi="Garamond"/>
        </w:rPr>
        <w:t xml:space="preserve"> 57 (4):</w:t>
      </w:r>
      <w:r w:rsidRPr="008D0803">
        <w:rPr>
          <w:rFonts w:ascii="Garamond" w:hAnsi="Garamond"/>
        </w:rPr>
        <w:t>725–737.</w:t>
      </w:r>
    </w:p>
    <w:p w14:paraId="78C89EC0" w14:textId="51C6BD2D" w:rsidR="00102EBE" w:rsidRPr="008D0803" w:rsidRDefault="00102EBE" w:rsidP="007A5EB9">
      <w:pPr>
        <w:pStyle w:val="Bibliography"/>
        <w:spacing w:line="480" w:lineRule="auto"/>
        <w:rPr>
          <w:rFonts w:ascii="Garamond" w:hAnsi="Garamond"/>
        </w:rPr>
      </w:pPr>
      <w:r w:rsidRPr="008D0803">
        <w:rPr>
          <w:rFonts w:ascii="Garamond" w:hAnsi="Garamond"/>
        </w:rPr>
        <w:t xml:space="preserve">Downes, Alexander B., and Todd S. Sechser. 2012. </w:t>
      </w:r>
      <w:r w:rsidR="005A406C">
        <w:rPr>
          <w:rFonts w:ascii="Garamond" w:hAnsi="Garamond"/>
        </w:rPr>
        <w:t>“</w:t>
      </w:r>
      <w:r w:rsidRPr="008D0803">
        <w:rPr>
          <w:rFonts w:ascii="Garamond" w:hAnsi="Garamond"/>
        </w:rPr>
        <w:t>The Illusion of Democratic Credibility.</w:t>
      </w:r>
      <w:r w:rsidR="005A406C">
        <w:rPr>
          <w:rFonts w:ascii="Garamond" w:hAnsi="Garamond"/>
        </w:rPr>
        <w:t>”</w:t>
      </w:r>
      <w:r w:rsidRPr="008D0803">
        <w:rPr>
          <w:rFonts w:ascii="Garamond" w:hAnsi="Garamond"/>
        </w:rPr>
        <w:t xml:space="preserve"> </w:t>
      </w:r>
      <w:r w:rsidRPr="008D0803">
        <w:rPr>
          <w:rFonts w:ascii="Garamond" w:hAnsi="Garamond"/>
          <w:i/>
          <w:iCs/>
        </w:rPr>
        <w:t>International Organization</w:t>
      </w:r>
      <w:r w:rsidR="005B0AE9" w:rsidRPr="0063486D">
        <w:rPr>
          <w:rFonts w:ascii="Garamond" w:hAnsi="Garamond"/>
        </w:rPr>
        <w:t xml:space="preserve"> 66 (3):</w:t>
      </w:r>
      <w:r w:rsidRPr="008D0803">
        <w:rPr>
          <w:rFonts w:ascii="Garamond" w:hAnsi="Garamond"/>
        </w:rPr>
        <w:t>457–489.</w:t>
      </w:r>
    </w:p>
    <w:p w14:paraId="437F1925" w14:textId="43508DBE" w:rsidR="00102EBE" w:rsidRPr="008D0803" w:rsidRDefault="00102EBE" w:rsidP="007A5EB9">
      <w:pPr>
        <w:pStyle w:val="Bibliography"/>
        <w:spacing w:line="480" w:lineRule="auto"/>
        <w:rPr>
          <w:rFonts w:ascii="Garamond" w:hAnsi="Garamond"/>
        </w:rPr>
      </w:pPr>
      <w:r w:rsidRPr="008D0803">
        <w:rPr>
          <w:rFonts w:ascii="Garamond" w:hAnsi="Garamond"/>
        </w:rPr>
        <w:t xml:space="preserve">Driscoll, Jesse, and Daniel Maliniak. 2016. </w:t>
      </w:r>
      <w:r w:rsidR="005A406C">
        <w:rPr>
          <w:rFonts w:ascii="Garamond" w:hAnsi="Garamond"/>
        </w:rPr>
        <w:t>“</w:t>
      </w:r>
      <w:r w:rsidRPr="008D0803">
        <w:rPr>
          <w:rFonts w:ascii="Garamond" w:hAnsi="Garamond"/>
        </w:rPr>
        <w:t>Did Georgian Voters Desire Military Escalation in 2008? Experiments and Observations.</w:t>
      </w:r>
      <w:r w:rsidR="005A406C">
        <w:rPr>
          <w:rFonts w:ascii="Garamond" w:hAnsi="Garamond"/>
        </w:rPr>
        <w:t>”</w:t>
      </w:r>
      <w:r w:rsidRPr="008D0803">
        <w:rPr>
          <w:rFonts w:ascii="Garamond" w:hAnsi="Garamond"/>
        </w:rPr>
        <w:t xml:space="preserve"> </w:t>
      </w:r>
      <w:r w:rsidRPr="008D0803">
        <w:rPr>
          <w:rFonts w:ascii="Garamond" w:hAnsi="Garamond"/>
          <w:i/>
          <w:iCs/>
        </w:rPr>
        <w:t>The Journal of Politics</w:t>
      </w:r>
      <w:r w:rsidR="00BE5E40" w:rsidRPr="0063486D">
        <w:rPr>
          <w:rFonts w:ascii="Garamond" w:hAnsi="Garamond"/>
        </w:rPr>
        <w:t xml:space="preserve"> 78 (1):</w:t>
      </w:r>
      <w:r w:rsidRPr="008D0803">
        <w:rPr>
          <w:rFonts w:ascii="Garamond" w:hAnsi="Garamond"/>
        </w:rPr>
        <w:t>265–280.</w:t>
      </w:r>
    </w:p>
    <w:p w14:paraId="7DF481C5" w14:textId="2C95D7CC" w:rsidR="00102EBE" w:rsidRPr="008D0803" w:rsidRDefault="00102EBE" w:rsidP="007A5EB9">
      <w:pPr>
        <w:pStyle w:val="Bibliography"/>
        <w:spacing w:line="480" w:lineRule="auto"/>
        <w:rPr>
          <w:rFonts w:ascii="Garamond" w:hAnsi="Garamond"/>
        </w:rPr>
      </w:pPr>
      <w:r w:rsidRPr="008D0803">
        <w:rPr>
          <w:rFonts w:ascii="Garamond" w:hAnsi="Garamond"/>
        </w:rPr>
        <w:t xml:space="preserve">Fair, C. Christine. 2014. </w:t>
      </w:r>
      <w:r w:rsidRPr="008D0803">
        <w:rPr>
          <w:rFonts w:ascii="Garamond" w:hAnsi="Garamond"/>
          <w:i/>
          <w:iCs/>
        </w:rPr>
        <w:t>Fighting to the End: The Pakistan Army’s Way of War</w:t>
      </w:r>
      <w:r w:rsidRPr="008D0803">
        <w:rPr>
          <w:rFonts w:ascii="Garamond" w:hAnsi="Garamond"/>
        </w:rPr>
        <w:t xml:space="preserve">. </w:t>
      </w:r>
      <w:r w:rsidR="00EF675E">
        <w:rPr>
          <w:rFonts w:ascii="Garamond" w:hAnsi="Garamond"/>
        </w:rPr>
        <w:t xml:space="preserve">New York: </w:t>
      </w:r>
      <w:r w:rsidRPr="008D0803">
        <w:rPr>
          <w:rFonts w:ascii="Garamond" w:hAnsi="Garamond"/>
        </w:rPr>
        <w:t>Oxford University Press.</w:t>
      </w:r>
    </w:p>
    <w:p w14:paraId="282360E6" w14:textId="5049AB0C" w:rsidR="00102EBE" w:rsidRPr="008D0803" w:rsidRDefault="00102EBE" w:rsidP="007A5EB9">
      <w:pPr>
        <w:pStyle w:val="Bibliography"/>
        <w:spacing w:line="480" w:lineRule="auto"/>
        <w:rPr>
          <w:rFonts w:ascii="Garamond" w:hAnsi="Garamond"/>
        </w:rPr>
      </w:pPr>
      <w:r w:rsidRPr="008D0803">
        <w:rPr>
          <w:rFonts w:ascii="Garamond" w:hAnsi="Garamond"/>
        </w:rPr>
        <w:t xml:space="preserve">Fearon, James D. 1994. </w:t>
      </w:r>
      <w:r w:rsidR="005A406C">
        <w:rPr>
          <w:rFonts w:ascii="Garamond" w:hAnsi="Garamond"/>
        </w:rPr>
        <w:t>“</w:t>
      </w:r>
      <w:r w:rsidRPr="008D0803">
        <w:rPr>
          <w:rFonts w:ascii="Garamond" w:hAnsi="Garamond"/>
        </w:rPr>
        <w:t>Domestic Political Audiences and the Escalation of International Disputes.</w:t>
      </w:r>
      <w:r w:rsidR="005A406C">
        <w:rPr>
          <w:rFonts w:ascii="Garamond" w:hAnsi="Garamond"/>
        </w:rPr>
        <w:t>”</w:t>
      </w:r>
      <w:r w:rsidRPr="008D0803">
        <w:rPr>
          <w:rFonts w:ascii="Garamond" w:hAnsi="Garamond"/>
        </w:rPr>
        <w:t xml:space="preserve"> </w:t>
      </w:r>
      <w:r w:rsidRPr="008D0803">
        <w:rPr>
          <w:rFonts w:ascii="Garamond" w:hAnsi="Garamond"/>
          <w:i/>
          <w:iCs/>
        </w:rPr>
        <w:t>The American Political Science Review</w:t>
      </w:r>
      <w:r w:rsidR="00D34323" w:rsidRPr="0063486D">
        <w:rPr>
          <w:rFonts w:ascii="Garamond" w:hAnsi="Garamond"/>
        </w:rPr>
        <w:t xml:space="preserve"> 88 (3)</w:t>
      </w:r>
      <w:r w:rsidR="00D34323">
        <w:rPr>
          <w:rFonts w:ascii="Garamond" w:hAnsi="Garamond"/>
        </w:rPr>
        <w:t>:</w:t>
      </w:r>
      <w:r w:rsidRPr="008D0803">
        <w:rPr>
          <w:rFonts w:ascii="Garamond" w:hAnsi="Garamond"/>
        </w:rPr>
        <w:t>577–592.</w:t>
      </w:r>
    </w:p>
    <w:p w14:paraId="7049149E" w14:textId="46C23359" w:rsidR="00102EBE" w:rsidRPr="008D0803" w:rsidRDefault="00102EBE" w:rsidP="007A5EB9">
      <w:pPr>
        <w:pStyle w:val="Bibliography"/>
        <w:spacing w:line="480" w:lineRule="auto"/>
        <w:rPr>
          <w:rFonts w:ascii="Garamond" w:hAnsi="Garamond"/>
        </w:rPr>
      </w:pPr>
      <w:r w:rsidRPr="008D0803">
        <w:rPr>
          <w:rFonts w:ascii="Garamond" w:hAnsi="Garamond"/>
        </w:rPr>
        <w:t xml:space="preserve">Fearon, James D. 2002. </w:t>
      </w:r>
      <w:r w:rsidR="005A406C">
        <w:rPr>
          <w:rFonts w:ascii="Garamond" w:hAnsi="Garamond"/>
        </w:rPr>
        <w:t>“</w:t>
      </w:r>
      <w:r w:rsidRPr="008D0803">
        <w:rPr>
          <w:rFonts w:ascii="Garamond" w:hAnsi="Garamond"/>
        </w:rPr>
        <w:t>Selection Effects and Deterrence.</w:t>
      </w:r>
      <w:r w:rsidR="005A406C">
        <w:rPr>
          <w:rFonts w:ascii="Garamond" w:hAnsi="Garamond"/>
        </w:rPr>
        <w:t>”</w:t>
      </w:r>
      <w:r w:rsidRPr="008D0803">
        <w:rPr>
          <w:rFonts w:ascii="Garamond" w:hAnsi="Garamond"/>
        </w:rPr>
        <w:t xml:space="preserve"> </w:t>
      </w:r>
      <w:r w:rsidRPr="008D0803">
        <w:rPr>
          <w:rFonts w:ascii="Garamond" w:hAnsi="Garamond"/>
          <w:i/>
          <w:iCs/>
        </w:rPr>
        <w:t>International Interactions</w:t>
      </w:r>
      <w:r w:rsidR="000B5589" w:rsidRPr="0063486D">
        <w:rPr>
          <w:rFonts w:ascii="Garamond" w:hAnsi="Garamond"/>
        </w:rPr>
        <w:t xml:space="preserve"> 28 (1)</w:t>
      </w:r>
      <w:r w:rsidR="000B5589">
        <w:rPr>
          <w:rFonts w:ascii="Garamond" w:hAnsi="Garamond"/>
        </w:rPr>
        <w:t>:</w:t>
      </w:r>
      <w:r w:rsidRPr="008D0803">
        <w:rPr>
          <w:rFonts w:ascii="Garamond" w:hAnsi="Garamond"/>
        </w:rPr>
        <w:t>5–29.</w:t>
      </w:r>
    </w:p>
    <w:p w14:paraId="3EA8F306" w14:textId="098F86AA" w:rsidR="00102EBE" w:rsidRPr="008D0803" w:rsidRDefault="00102EBE" w:rsidP="007A5EB9">
      <w:pPr>
        <w:pStyle w:val="Bibliography"/>
        <w:spacing w:line="480" w:lineRule="auto"/>
        <w:rPr>
          <w:rFonts w:ascii="Garamond" w:hAnsi="Garamond"/>
        </w:rPr>
      </w:pPr>
      <w:r w:rsidRPr="008D0803">
        <w:rPr>
          <w:rFonts w:ascii="Garamond" w:hAnsi="Garamond"/>
        </w:rPr>
        <w:t xml:space="preserve">Gartzke, Erik. 2007. </w:t>
      </w:r>
      <w:r w:rsidR="005A406C">
        <w:rPr>
          <w:rFonts w:ascii="Garamond" w:hAnsi="Garamond"/>
        </w:rPr>
        <w:t>“</w:t>
      </w:r>
      <w:r w:rsidRPr="008D0803">
        <w:rPr>
          <w:rFonts w:ascii="Garamond" w:hAnsi="Garamond"/>
        </w:rPr>
        <w:t>The Capitalist Peace.</w:t>
      </w:r>
      <w:r w:rsidR="005A406C">
        <w:rPr>
          <w:rFonts w:ascii="Garamond" w:hAnsi="Garamond"/>
        </w:rPr>
        <w:t>”</w:t>
      </w:r>
      <w:r w:rsidRPr="008D0803">
        <w:rPr>
          <w:rFonts w:ascii="Garamond" w:hAnsi="Garamond"/>
        </w:rPr>
        <w:t xml:space="preserve"> </w:t>
      </w:r>
      <w:r w:rsidRPr="008D0803">
        <w:rPr>
          <w:rFonts w:ascii="Garamond" w:hAnsi="Garamond"/>
          <w:i/>
          <w:iCs/>
        </w:rPr>
        <w:t>American Journal of Political Science</w:t>
      </w:r>
      <w:r w:rsidR="000B5589" w:rsidRPr="0063486D">
        <w:rPr>
          <w:rFonts w:ascii="Garamond" w:hAnsi="Garamond"/>
        </w:rPr>
        <w:t xml:space="preserve"> 51 (1):</w:t>
      </w:r>
      <w:r w:rsidRPr="008D0803">
        <w:rPr>
          <w:rFonts w:ascii="Garamond" w:hAnsi="Garamond"/>
        </w:rPr>
        <w:t>166–191.</w:t>
      </w:r>
    </w:p>
    <w:p w14:paraId="7280104F" w14:textId="77777777" w:rsidR="00102EBE" w:rsidRPr="008D0803" w:rsidRDefault="00102EBE" w:rsidP="007A5EB9">
      <w:pPr>
        <w:pStyle w:val="Bibliography"/>
        <w:spacing w:line="480" w:lineRule="auto"/>
        <w:rPr>
          <w:rFonts w:ascii="Garamond" w:hAnsi="Garamond"/>
        </w:rPr>
      </w:pPr>
      <w:r w:rsidRPr="008D0803">
        <w:rPr>
          <w:rFonts w:ascii="Garamond" w:hAnsi="Garamond"/>
        </w:rPr>
        <w:t xml:space="preserve">Gokhale, Nitin A. 2017. </w:t>
      </w:r>
      <w:r w:rsidRPr="008D0803">
        <w:rPr>
          <w:rFonts w:ascii="Garamond" w:hAnsi="Garamond"/>
          <w:i/>
          <w:iCs/>
        </w:rPr>
        <w:t>Securing India the Modi Way: Pathankot, Surgical Strikes and More</w:t>
      </w:r>
      <w:r w:rsidRPr="008D0803">
        <w:rPr>
          <w:rFonts w:ascii="Garamond" w:hAnsi="Garamond"/>
        </w:rPr>
        <w:t>. New Delhi: Bloomsbury Publishing.</w:t>
      </w:r>
    </w:p>
    <w:p w14:paraId="35FE8C74" w14:textId="52794D66" w:rsidR="00102EBE" w:rsidRPr="008D0803" w:rsidRDefault="00102EBE" w:rsidP="007A5EB9">
      <w:pPr>
        <w:pStyle w:val="Bibliography"/>
        <w:spacing w:line="480" w:lineRule="auto"/>
        <w:rPr>
          <w:rFonts w:ascii="Garamond" w:hAnsi="Garamond"/>
        </w:rPr>
      </w:pPr>
      <w:r w:rsidRPr="008D0803">
        <w:rPr>
          <w:rFonts w:ascii="Garamond" w:hAnsi="Garamond"/>
        </w:rPr>
        <w:t xml:space="preserve">Gottfried, Matthew S., and Robert F. Trager. 2016. </w:t>
      </w:r>
      <w:r w:rsidR="005A406C">
        <w:rPr>
          <w:rFonts w:ascii="Garamond" w:hAnsi="Garamond"/>
        </w:rPr>
        <w:t>“</w:t>
      </w:r>
      <w:r w:rsidRPr="008D0803">
        <w:rPr>
          <w:rFonts w:ascii="Garamond" w:hAnsi="Garamond"/>
        </w:rPr>
        <w:t>A Preference for War: How Fairness and Rhetoric Influence Leadership Incentives in Crises.</w:t>
      </w:r>
      <w:r w:rsidR="005A406C">
        <w:rPr>
          <w:rFonts w:ascii="Garamond" w:hAnsi="Garamond"/>
        </w:rPr>
        <w:t>”</w:t>
      </w:r>
      <w:r w:rsidRPr="008D0803">
        <w:rPr>
          <w:rFonts w:ascii="Garamond" w:hAnsi="Garamond"/>
        </w:rPr>
        <w:t xml:space="preserve"> </w:t>
      </w:r>
      <w:r w:rsidRPr="008D0803">
        <w:rPr>
          <w:rFonts w:ascii="Garamond" w:hAnsi="Garamond"/>
          <w:i/>
          <w:iCs/>
        </w:rPr>
        <w:t>International Studies Quarterly</w:t>
      </w:r>
      <w:r w:rsidR="00D23283" w:rsidRPr="0063486D">
        <w:rPr>
          <w:rFonts w:ascii="Garamond" w:hAnsi="Garamond"/>
        </w:rPr>
        <w:t xml:space="preserve"> 60 (2):</w:t>
      </w:r>
      <w:r w:rsidR="00D23283">
        <w:rPr>
          <w:rFonts w:ascii="Garamond" w:hAnsi="Garamond"/>
        </w:rPr>
        <w:t>2</w:t>
      </w:r>
      <w:r w:rsidRPr="008D0803">
        <w:rPr>
          <w:rFonts w:ascii="Garamond" w:hAnsi="Garamond"/>
        </w:rPr>
        <w:t>43–257.</w:t>
      </w:r>
    </w:p>
    <w:p w14:paraId="015F0B65" w14:textId="77777777" w:rsidR="00102EBE" w:rsidRPr="008D0803" w:rsidRDefault="00102EBE" w:rsidP="007A5EB9">
      <w:pPr>
        <w:pStyle w:val="Bibliography"/>
        <w:spacing w:line="480" w:lineRule="auto"/>
        <w:rPr>
          <w:rFonts w:ascii="Garamond" w:hAnsi="Garamond"/>
        </w:rPr>
      </w:pPr>
      <w:r w:rsidRPr="008D0803">
        <w:rPr>
          <w:rFonts w:ascii="Garamond" w:hAnsi="Garamond"/>
        </w:rPr>
        <w:lastRenderedPageBreak/>
        <w:t xml:space="preserve">Gowa, Joanne S. 1999. </w:t>
      </w:r>
      <w:r w:rsidRPr="008D0803">
        <w:rPr>
          <w:rFonts w:ascii="Garamond" w:hAnsi="Garamond"/>
          <w:i/>
          <w:iCs/>
        </w:rPr>
        <w:t>Ballots and Bullets: The Exclusive Democratic Peace</w:t>
      </w:r>
      <w:r w:rsidRPr="008D0803">
        <w:rPr>
          <w:rFonts w:ascii="Garamond" w:hAnsi="Garamond"/>
        </w:rPr>
        <w:t>. Princeton, NJ: Princeton University Press.</w:t>
      </w:r>
    </w:p>
    <w:p w14:paraId="0B423252" w14:textId="614D3411" w:rsidR="00102EBE" w:rsidRPr="008D0803" w:rsidRDefault="00102EBE" w:rsidP="007A5EB9">
      <w:pPr>
        <w:pStyle w:val="Bibliography"/>
        <w:spacing w:line="480" w:lineRule="auto"/>
        <w:rPr>
          <w:rFonts w:ascii="Garamond" w:hAnsi="Garamond"/>
        </w:rPr>
      </w:pPr>
      <w:r w:rsidRPr="008D0803">
        <w:rPr>
          <w:rFonts w:ascii="Garamond" w:hAnsi="Garamond"/>
        </w:rPr>
        <w:t xml:space="preserve">Hall, Todd H. 2017. </w:t>
      </w:r>
      <w:r w:rsidR="005A406C">
        <w:rPr>
          <w:rFonts w:ascii="Garamond" w:hAnsi="Garamond"/>
        </w:rPr>
        <w:t>“</w:t>
      </w:r>
      <w:r w:rsidRPr="008D0803">
        <w:rPr>
          <w:rFonts w:ascii="Garamond" w:hAnsi="Garamond"/>
        </w:rPr>
        <w:t>On Provocation: Outrage, International Relations, and the Franco–Prussian War.</w:t>
      </w:r>
      <w:r w:rsidR="005A406C">
        <w:rPr>
          <w:rFonts w:ascii="Garamond" w:hAnsi="Garamond"/>
        </w:rPr>
        <w:t>”</w:t>
      </w:r>
      <w:r w:rsidRPr="008D0803">
        <w:rPr>
          <w:rFonts w:ascii="Garamond" w:hAnsi="Garamond"/>
        </w:rPr>
        <w:t xml:space="preserve"> </w:t>
      </w:r>
      <w:r w:rsidRPr="008D0803">
        <w:rPr>
          <w:rFonts w:ascii="Garamond" w:hAnsi="Garamond"/>
          <w:i/>
          <w:iCs/>
        </w:rPr>
        <w:t>Security Studies</w:t>
      </w:r>
      <w:r w:rsidR="00C22923" w:rsidRPr="0063486D">
        <w:rPr>
          <w:rFonts w:ascii="Garamond" w:hAnsi="Garamond"/>
        </w:rPr>
        <w:t xml:space="preserve"> 26 (1)</w:t>
      </w:r>
      <w:r w:rsidR="00C22923">
        <w:rPr>
          <w:rFonts w:ascii="Garamond" w:hAnsi="Garamond"/>
        </w:rPr>
        <w:t>:</w:t>
      </w:r>
      <w:r w:rsidRPr="008D0803">
        <w:rPr>
          <w:rFonts w:ascii="Garamond" w:hAnsi="Garamond"/>
        </w:rPr>
        <w:t>1–29.</w:t>
      </w:r>
    </w:p>
    <w:p w14:paraId="059134E8" w14:textId="77777777" w:rsidR="00102EBE" w:rsidRPr="008D0803" w:rsidRDefault="00102EBE" w:rsidP="007A5EB9">
      <w:pPr>
        <w:pStyle w:val="Bibliography"/>
        <w:spacing w:line="480" w:lineRule="auto"/>
        <w:rPr>
          <w:rFonts w:ascii="Garamond" w:hAnsi="Garamond"/>
        </w:rPr>
      </w:pPr>
      <w:r w:rsidRPr="008D0803">
        <w:rPr>
          <w:rFonts w:ascii="Garamond" w:hAnsi="Garamond"/>
        </w:rPr>
        <w:t xml:space="preserve">Huntington, Samuel P. 1957. </w:t>
      </w:r>
      <w:r w:rsidRPr="008D0803">
        <w:rPr>
          <w:rFonts w:ascii="Garamond" w:hAnsi="Garamond"/>
          <w:i/>
          <w:iCs/>
        </w:rPr>
        <w:t>The Soldier and the State: The Theory and Politics of Civil–Military Relations</w:t>
      </w:r>
      <w:r w:rsidRPr="008D0803">
        <w:rPr>
          <w:rFonts w:ascii="Garamond" w:hAnsi="Garamond"/>
        </w:rPr>
        <w:t>. Cambridge, MA: Harvard University Press.</w:t>
      </w:r>
    </w:p>
    <w:p w14:paraId="2EA755D7" w14:textId="77777777" w:rsidR="00102EBE" w:rsidRPr="008D0803" w:rsidRDefault="00102EBE" w:rsidP="007A5EB9">
      <w:pPr>
        <w:pStyle w:val="Bibliography"/>
        <w:spacing w:line="480" w:lineRule="auto"/>
        <w:rPr>
          <w:rFonts w:ascii="Garamond" w:hAnsi="Garamond"/>
        </w:rPr>
      </w:pPr>
      <w:r w:rsidRPr="008D0803">
        <w:rPr>
          <w:rFonts w:ascii="Garamond" w:hAnsi="Garamond"/>
        </w:rPr>
        <w:t xml:space="preserve">Jervis, Robert. 1989. </w:t>
      </w:r>
      <w:r w:rsidRPr="008D0803">
        <w:rPr>
          <w:rFonts w:ascii="Garamond" w:hAnsi="Garamond"/>
          <w:i/>
          <w:iCs/>
        </w:rPr>
        <w:t>The Meaning of the Nuclear Revolution: Statecraft and the Prospect of Armageddon</w:t>
      </w:r>
      <w:r w:rsidRPr="008D0803">
        <w:rPr>
          <w:rFonts w:ascii="Garamond" w:hAnsi="Garamond"/>
        </w:rPr>
        <w:t>. Ithaca, NY: Cornell University Press.</w:t>
      </w:r>
    </w:p>
    <w:p w14:paraId="3DFD24D5" w14:textId="29690D78" w:rsidR="00102EBE" w:rsidRPr="008D0803" w:rsidRDefault="00102EBE" w:rsidP="007A5EB9">
      <w:pPr>
        <w:pStyle w:val="Bibliography"/>
        <w:spacing w:line="480" w:lineRule="auto"/>
        <w:rPr>
          <w:rFonts w:ascii="Garamond" w:hAnsi="Garamond"/>
        </w:rPr>
      </w:pPr>
      <w:r w:rsidRPr="008D0803">
        <w:rPr>
          <w:rFonts w:ascii="Garamond" w:hAnsi="Garamond"/>
        </w:rPr>
        <w:t xml:space="preserve">Joeck, Neil. 2013. </w:t>
      </w:r>
      <w:r w:rsidR="005A406C">
        <w:rPr>
          <w:rFonts w:ascii="Garamond" w:hAnsi="Garamond"/>
        </w:rPr>
        <w:t>“</w:t>
      </w:r>
      <w:r w:rsidRPr="008D0803">
        <w:rPr>
          <w:rFonts w:ascii="Garamond" w:hAnsi="Garamond"/>
        </w:rPr>
        <w:t>Prospects for Limited War and Nuclear Use in South Asia.</w:t>
      </w:r>
      <w:r w:rsidR="005A406C">
        <w:rPr>
          <w:rFonts w:ascii="Garamond" w:hAnsi="Garamond"/>
        </w:rPr>
        <w:t>”</w:t>
      </w:r>
      <w:r w:rsidRPr="008D0803">
        <w:rPr>
          <w:rFonts w:ascii="Garamond" w:hAnsi="Garamond"/>
        </w:rPr>
        <w:t xml:space="preserve"> In </w:t>
      </w:r>
      <w:r w:rsidRPr="008D0803">
        <w:rPr>
          <w:rFonts w:ascii="Garamond" w:hAnsi="Garamond"/>
          <w:i/>
          <w:iCs/>
        </w:rPr>
        <w:t>Deterrence Stability and Escalation Control in South Asia</w:t>
      </w:r>
      <w:r w:rsidRPr="008D0803">
        <w:rPr>
          <w:rFonts w:ascii="Garamond" w:hAnsi="Garamond"/>
        </w:rPr>
        <w:t>, edited by Michael Krepon and Julia Thompson, 107–122. Washington</w:t>
      </w:r>
      <w:r w:rsidR="006F7548">
        <w:rPr>
          <w:rFonts w:ascii="Garamond" w:hAnsi="Garamond"/>
        </w:rPr>
        <w:t>, DC</w:t>
      </w:r>
      <w:r w:rsidRPr="008D0803">
        <w:rPr>
          <w:rFonts w:ascii="Garamond" w:hAnsi="Garamond"/>
        </w:rPr>
        <w:t>: Stimson Center.</w:t>
      </w:r>
    </w:p>
    <w:p w14:paraId="337AD65F" w14:textId="24225BB3" w:rsidR="00102EBE" w:rsidRPr="008D0803" w:rsidRDefault="00102EBE" w:rsidP="007A5EB9">
      <w:pPr>
        <w:pStyle w:val="Bibliography"/>
        <w:spacing w:line="480" w:lineRule="auto"/>
        <w:rPr>
          <w:rFonts w:ascii="Garamond" w:hAnsi="Garamond"/>
        </w:rPr>
      </w:pPr>
      <w:r w:rsidRPr="008D0803">
        <w:rPr>
          <w:rFonts w:ascii="Garamond" w:hAnsi="Garamond"/>
        </w:rPr>
        <w:t>Joshi, Shasha</w:t>
      </w:r>
      <w:r w:rsidR="002D4B7A" w:rsidRPr="0063486D">
        <w:rPr>
          <w:rFonts w:ascii="Garamond" w:hAnsi="Garamond"/>
        </w:rPr>
        <w:t xml:space="preserve">nk. 2016. </w:t>
      </w:r>
      <w:r w:rsidR="005A406C">
        <w:rPr>
          <w:rFonts w:ascii="Garamond" w:hAnsi="Garamond"/>
        </w:rPr>
        <w:t>“</w:t>
      </w:r>
      <w:r w:rsidR="002D4B7A" w:rsidRPr="0063486D">
        <w:rPr>
          <w:rFonts w:ascii="Garamond" w:hAnsi="Garamond"/>
        </w:rPr>
        <w:t xml:space="preserve">Kashmir: Why is Modi </w:t>
      </w:r>
      <w:r w:rsidR="002D4B7A">
        <w:rPr>
          <w:rFonts w:ascii="Garamond" w:hAnsi="Garamond"/>
        </w:rPr>
        <w:t>G</w:t>
      </w:r>
      <w:r w:rsidR="002D4B7A" w:rsidRPr="0063486D">
        <w:rPr>
          <w:rFonts w:ascii="Garamond" w:hAnsi="Garamond"/>
        </w:rPr>
        <w:t xml:space="preserve">oing on the </w:t>
      </w:r>
      <w:r w:rsidR="002D4B7A">
        <w:rPr>
          <w:rFonts w:ascii="Garamond" w:hAnsi="Garamond"/>
        </w:rPr>
        <w:t>O</w:t>
      </w:r>
      <w:r w:rsidR="002D4B7A" w:rsidRPr="0063486D">
        <w:rPr>
          <w:rFonts w:ascii="Garamond" w:hAnsi="Garamond"/>
        </w:rPr>
        <w:t xml:space="preserve">ffensive </w:t>
      </w:r>
      <w:r w:rsidR="002D4B7A">
        <w:rPr>
          <w:rFonts w:ascii="Garamond" w:hAnsi="Garamond"/>
        </w:rPr>
        <w:t>N</w:t>
      </w:r>
      <w:r w:rsidRPr="008D0803">
        <w:rPr>
          <w:rFonts w:ascii="Garamond" w:hAnsi="Garamond"/>
        </w:rPr>
        <w:t>ow?</w:t>
      </w:r>
      <w:r w:rsidR="005A406C">
        <w:rPr>
          <w:rFonts w:ascii="Garamond" w:hAnsi="Garamond"/>
        </w:rPr>
        <w:t>”</w:t>
      </w:r>
      <w:r w:rsidRPr="008D0803">
        <w:rPr>
          <w:rFonts w:ascii="Garamond" w:hAnsi="Garamond"/>
        </w:rPr>
        <w:t xml:space="preserve"> </w:t>
      </w:r>
      <w:r w:rsidRPr="008D0803">
        <w:rPr>
          <w:rFonts w:ascii="Garamond" w:hAnsi="Garamond"/>
          <w:i/>
          <w:iCs/>
        </w:rPr>
        <w:t>CNN</w:t>
      </w:r>
      <w:r w:rsidRPr="008D0803">
        <w:rPr>
          <w:rFonts w:ascii="Garamond" w:hAnsi="Garamond"/>
        </w:rPr>
        <w:t>. Available at &lt;https://www.cnn.com/2016/09/29/opinions/kashmir-modi-joshi/index.html&gt;. Accessed 1</w:t>
      </w:r>
      <w:r w:rsidR="00C365FD">
        <w:rPr>
          <w:rFonts w:ascii="Garamond" w:hAnsi="Garamond"/>
        </w:rPr>
        <w:t>0</w:t>
      </w:r>
      <w:r w:rsidRPr="008D0803">
        <w:rPr>
          <w:rFonts w:ascii="Garamond" w:hAnsi="Garamond"/>
        </w:rPr>
        <w:t xml:space="preserve"> September 2018.</w:t>
      </w:r>
    </w:p>
    <w:p w14:paraId="0A7ECFEF" w14:textId="77777777" w:rsidR="00102EBE" w:rsidRPr="008D0803" w:rsidRDefault="00102EBE" w:rsidP="007A5EB9">
      <w:pPr>
        <w:pStyle w:val="Bibliography"/>
        <w:spacing w:line="480" w:lineRule="auto"/>
        <w:rPr>
          <w:rFonts w:ascii="Garamond" w:hAnsi="Garamond"/>
        </w:rPr>
      </w:pPr>
      <w:r w:rsidRPr="008D0803">
        <w:rPr>
          <w:rFonts w:ascii="Garamond" w:hAnsi="Garamond"/>
        </w:rPr>
        <w:t xml:space="preserve">Kapur, S. Paul. 2007. </w:t>
      </w:r>
      <w:r w:rsidRPr="008D0803">
        <w:rPr>
          <w:rFonts w:ascii="Garamond" w:hAnsi="Garamond"/>
          <w:i/>
          <w:iCs/>
        </w:rPr>
        <w:t>Dangerous Deterrent: Nuclear Weapons Proliferation and Conflict in South Asia</w:t>
      </w:r>
      <w:r w:rsidRPr="008D0803">
        <w:rPr>
          <w:rFonts w:ascii="Garamond" w:hAnsi="Garamond"/>
        </w:rPr>
        <w:t>. Stanford, CA: Stanford University Press.</w:t>
      </w:r>
    </w:p>
    <w:p w14:paraId="3DFBB9FF" w14:textId="3A493CFC" w:rsidR="00102EBE" w:rsidRPr="008D0803" w:rsidRDefault="00102EBE" w:rsidP="007A5EB9">
      <w:pPr>
        <w:pStyle w:val="Bibliography"/>
        <w:spacing w:line="480" w:lineRule="auto"/>
        <w:rPr>
          <w:rFonts w:ascii="Garamond" w:hAnsi="Garamond"/>
        </w:rPr>
      </w:pPr>
      <w:r w:rsidRPr="008D0803">
        <w:rPr>
          <w:rFonts w:ascii="Garamond" w:hAnsi="Garamond"/>
        </w:rPr>
        <w:t xml:space="preserve">Karl, Terry Lynn. 1995. </w:t>
      </w:r>
      <w:r w:rsidR="005A406C">
        <w:rPr>
          <w:rFonts w:ascii="Garamond" w:hAnsi="Garamond"/>
        </w:rPr>
        <w:t>:</w:t>
      </w:r>
      <w:r w:rsidRPr="008D0803">
        <w:rPr>
          <w:rFonts w:ascii="Garamond" w:hAnsi="Garamond"/>
        </w:rPr>
        <w:t>The Hybrid Regimes of Central America.</w:t>
      </w:r>
      <w:r w:rsidR="005A406C">
        <w:rPr>
          <w:rFonts w:ascii="Garamond" w:hAnsi="Garamond"/>
        </w:rPr>
        <w:t>”</w:t>
      </w:r>
      <w:r w:rsidRPr="008D0803">
        <w:rPr>
          <w:rFonts w:ascii="Garamond" w:hAnsi="Garamond"/>
        </w:rPr>
        <w:t xml:space="preserve"> </w:t>
      </w:r>
      <w:r w:rsidRPr="008D0803">
        <w:rPr>
          <w:rFonts w:ascii="Garamond" w:hAnsi="Garamond"/>
          <w:i/>
          <w:iCs/>
        </w:rPr>
        <w:t>Journal of Democracy</w:t>
      </w:r>
      <w:r w:rsidR="009A490E" w:rsidRPr="0063486D">
        <w:rPr>
          <w:rFonts w:ascii="Garamond" w:hAnsi="Garamond"/>
        </w:rPr>
        <w:t xml:space="preserve"> 6 (3):</w:t>
      </w:r>
      <w:r w:rsidRPr="008D0803">
        <w:rPr>
          <w:rFonts w:ascii="Garamond" w:hAnsi="Garamond"/>
        </w:rPr>
        <w:t>72–86.</w:t>
      </w:r>
    </w:p>
    <w:p w14:paraId="7D1B51FC" w14:textId="2B5CDF19" w:rsidR="00102EBE" w:rsidRPr="008D0803" w:rsidRDefault="00102EBE" w:rsidP="007A5EB9">
      <w:pPr>
        <w:pStyle w:val="Bibliography"/>
        <w:spacing w:line="480" w:lineRule="auto"/>
        <w:rPr>
          <w:rFonts w:ascii="Garamond" w:hAnsi="Garamond"/>
        </w:rPr>
      </w:pPr>
      <w:r w:rsidRPr="008D0803">
        <w:rPr>
          <w:rFonts w:ascii="Garamond" w:hAnsi="Garamond"/>
        </w:rPr>
        <w:t xml:space="preserve">Kertzer, Joshua D., and Ryan Brutger. 2016. </w:t>
      </w:r>
      <w:r w:rsidR="005A406C">
        <w:rPr>
          <w:rFonts w:ascii="Garamond" w:hAnsi="Garamond"/>
        </w:rPr>
        <w:t>“</w:t>
      </w:r>
      <w:r w:rsidRPr="008D0803">
        <w:rPr>
          <w:rFonts w:ascii="Garamond" w:hAnsi="Garamond"/>
        </w:rPr>
        <w:t>Decomposing Audience Costs: Bringing the Audience Back into Audience Cost Theory.</w:t>
      </w:r>
      <w:r w:rsidR="005A406C">
        <w:rPr>
          <w:rFonts w:ascii="Garamond" w:hAnsi="Garamond"/>
        </w:rPr>
        <w:t>”</w:t>
      </w:r>
      <w:r w:rsidRPr="008D0803">
        <w:rPr>
          <w:rFonts w:ascii="Garamond" w:hAnsi="Garamond"/>
        </w:rPr>
        <w:t xml:space="preserve"> </w:t>
      </w:r>
      <w:r w:rsidRPr="008D0803">
        <w:rPr>
          <w:rFonts w:ascii="Garamond" w:hAnsi="Garamond"/>
          <w:i/>
          <w:iCs/>
        </w:rPr>
        <w:t>American Journal of Political Science</w:t>
      </w:r>
      <w:r w:rsidRPr="008D0803">
        <w:rPr>
          <w:rFonts w:ascii="Garamond" w:hAnsi="Garamond"/>
        </w:rPr>
        <w:t xml:space="preserve"> 60 (1):234–249.</w:t>
      </w:r>
    </w:p>
    <w:p w14:paraId="1C253566" w14:textId="4181FD26" w:rsidR="00102EBE" w:rsidRPr="008D0803" w:rsidRDefault="00102EBE" w:rsidP="007A5EB9">
      <w:pPr>
        <w:pStyle w:val="Bibliography"/>
        <w:spacing w:line="480" w:lineRule="auto"/>
        <w:rPr>
          <w:rFonts w:ascii="Garamond" w:hAnsi="Garamond"/>
        </w:rPr>
      </w:pPr>
      <w:r w:rsidRPr="008D0803">
        <w:rPr>
          <w:rFonts w:ascii="Garamond" w:hAnsi="Garamond"/>
        </w:rPr>
        <w:t xml:space="preserve">Kurizaki, Shuhei. 2007. </w:t>
      </w:r>
      <w:r w:rsidR="005A406C">
        <w:rPr>
          <w:rFonts w:ascii="Garamond" w:hAnsi="Garamond"/>
        </w:rPr>
        <w:t>“</w:t>
      </w:r>
      <w:r w:rsidRPr="008D0803">
        <w:rPr>
          <w:rFonts w:ascii="Garamond" w:hAnsi="Garamond"/>
        </w:rPr>
        <w:t>Efficient Secrecy: Public versus Private Threats in Crisis Diplomacy.</w:t>
      </w:r>
      <w:r w:rsidR="005A406C">
        <w:rPr>
          <w:rFonts w:ascii="Garamond" w:hAnsi="Garamond"/>
        </w:rPr>
        <w:t>”</w:t>
      </w:r>
      <w:r w:rsidRPr="008D0803">
        <w:rPr>
          <w:rFonts w:ascii="Garamond" w:hAnsi="Garamond"/>
        </w:rPr>
        <w:t xml:space="preserve"> </w:t>
      </w:r>
      <w:r w:rsidRPr="008D0803">
        <w:rPr>
          <w:rFonts w:ascii="Garamond" w:hAnsi="Garamond"/>
          <w:i/>
          <w:iCs/>
        </w:rPr>
        <w:t>American Political Science Review</w:t>
      </w:r>
      <w:r w:rsidR="00004618" w:rsidRPr="0063486D">
        <w:rPr>
          <w:rFonts w:ascii="Garamond" w:hAnsi="Garamond"/>
        </w:rPr>
        <w:t xml:space="preserve"> 101 (3):</w:t>
      </w:r>
      <w:r w:rsidRPr="008D0803">
        <w:rPr>
          <w:rFonts w:ascii="Garamond" w:hAnsi="Garamond"/>
        </w:rPr>
        <w:t>543–558.</w:t>
      </w:r>
    </w:p>
    <w:p w14:paraId="5A7E3F7A" w14:textId="4BEC1537" w:rsidR="00102EBE" w:rsidRPr="008D0803" w:rsidRDefault="00102EBE" w:rsidP="007A5EB9">
      <w:pPr>
        <w:pStyle w:val="Bibliography"/>
        <w:spacing w:line="480" w:lineRule="auto"/>
        <w:rPr>
          <w:rFonts w:ascii="Garamond" w:hAnsi="Garamond"/>
        </w:rPr>
      </w:pPr>
      <w:r w:rsidRPr="008D0803">
        <w:rPr>
          <w:rFonts w:ascii="Garamond" w:hAnsi="Garamond"/>
        </w:rPr>
        <w:t xml:space="preserve">Kurizaki, Shuhei, and Taehee Whang. 2015. </w:t>
      </w:r>
      <w:r w:rsidR="005A406C">
        <w:rPr>
          <w:rFonts w:ascii="Garamond" w:hAnsi="Garamond"/>
        </w:rPr>
        <w:t>“</w:t>
      </w:r>
      <w:r w:rsidRPr="008D0803">
        <w:rPr>
          <w:rFonts w:ascii="Garamond" w:hAnsi="Garamond"/>
        </w:rPr>
        <w:t>Detecting Audience Costs in International Disputes.</w:t>
      </w:r>
      <w:r w:rsidR="005A406C">
        <w:rPr>
          <w:rFonts w:ascii="Garamond" w:hAnsi="Garamond"/>
        </w:rPr>
        <w:t>”</w:t>
      </w:r>
      <w:r w:rsidRPr="008D0803">
        <w:rPr>
          <w:rFonts w:ascii="Garamond" w:hAnsi="Garamond"/>
        </w:rPr>
        <w:t xml:space="preserve"> </w:t>
      </w:r>
      <w:r w:rsidRPr="008D0803">
        <w:rPr>
          <w:rFonts w:ascii="Garamond" w:hAnsi="Garamond"/>
          <w:i/>
          <w:iCs/>
        </w:rPr>
        <w:t>International Organization</w:t>
      </w:r>
      <w:r w:rsidR="00C56F01" w:rsidRPr="0063486D">
        <w:rPr>
          <w:rFonts w:ascii="Garamond" w:hAnsi="Garamond"/>
        </w:rPr>
        <w:t xml:space="preserve"> 69 (4):</w:t>
      </w:r>
      <w:r w:rsidRPr="008D0803">
        <w:rPr>
          <w:rFonts w:ascii="Garamond" w:hAnsi="Garamond"/>
        </w:rPr>
        <w:t>949–980.</w:t>
      </w:r>
    </w:p>
    <w:p w14:paraId="385618B7" w14:textId="3648734F" w:rsidR="00102EBE" w:rsidRPr="008D0803" w:rsidRDefault="00102EBE" w:rsidP="007A5EB9">
      <w:pPr>
        <w:pStyle w:val="Bibliography"/>
        <w:spacing w:line="480" w:lineRule="auto"/>
        <w:rPr>
          <w:rFonts w:ascii="Garamond" w:hAnsi="Garamond"/>
        </w:rPr>
      </w:pPr>
      <w:r w:rsidRPr="008D0803">
        <w:rPr>
          <w:rFonts w:ascii="Garamond" w:hAnsi="Garamond"/>
        </w:rPr>
        <w:lastRenderedPageBreak/>
        <w:t xml:space="preserve">Lai, Brian, and Dan Reiter. 2005. </w:t>
      </w:r>
      <w:r w:rsidR="005A406C">
        <w:rPr>
          <w:rFonts w:ascii="Garamond" w:hAnsi="Garamond"/>
        </w:rPr>
        <w:t>“</w:t>
      </w:r>
      <w:r w:rsidRPr="008D0803">
        <w:rPr>
          <w:rFonts w:ascii="Garamond" w:hAnsi="Garamond"/>
        </w:rPr>
        <w:t>Rally ‘Round the Union Jack? Public Opinion and the Use of Force in the United Kingdom, 1948–2001.</w:t>
      </w:r>
      <w:r w:rsidR="005A406C">
        <w:rPr>
          <w:rFonts w:ascii="Garamond" w:hAnsi="Garamond"/>
        </w:rPr>
        <w:t>”</w:t>
      </w:r>
      <w:r w:rsidRPr="008D0803">
        <w:rPr>
          <w:rFonts w:ascii="Garamond" w:hAnsi="Garamond"/>
        </w:rPr>
        <w:t xml:space="preserve"> </w:t>
      </w:r>
      <w:r w:rsidRPr="008D0803">
        <w:rPr>
          <w:rFonts w:ascii="Garamond" w:hAnsi="Garamond"/>
          <w:i/>
          <w:iCs/>
        </w:rPr>
        <w:t>International Studies Quarterly</w:t>
      </w:r>
      <w:r w:rsidR="0049381C" w:rsidRPr="0063486D">
        <w:rPr>
          <w:rFonts w:ascii="Garamond" w:hAnsi="Garamond"/>
        </w:rPr>
        <w:t xml:space="preserve"> 49 (2):</w:t>
      </w:r>
      <w:r w:rsidRPr="008D0803">
        <w:rPr>
          <w:rFonts w:ascii="Garamond" w:hAnsi="Garamond"/>
        </w:rPr>
        <w:t>255–272.</w:t>
      </w:r>
    </w:p>
    <w:p w14:paraId="278ED488" w14:textId="211912B7" w:rsidR="00102EBE" w:rsidRPr="008D0803" w:rsidRDefault="00102EBE" w:rsidP="007A5EB9">
      <w:pPr>
        <w:pStyle w:val="Bibliography"/>
        <w:spacing w:line="480" w:lineRule="auto"/>
        <w:rPr>
          <w:rFonts w:ascii="Garamond" w:hAnsi="Garamond"/>
        </w:rPr>
      </w:pPr>
      <w:r w:rsidRPr="008D0803">
        <w:rPr>
          <w:rFonts w:ascii="Garamond" w:hAnsi="Garamond"/>
        </w:rPr>
        <w:t>Lambert, Alan J., Laura D. Scherer, John Paul Schott, Kristina R. Olson, Rick K. Andrews, Thomas C. O’Brien, and</w:t>
      </w:r>
      <w:r w:rsidR="00784229" w:rsidRPr="0063486D">
        <w:rPr>
          <w:rFonts w:ascii="Garamond" w:hAnsi="Garamond"/>
        </w:rPr>
        <w:t xml:space="preserve"> Alison R. Zisser. 2010. </w:t>
      </w:r>
      <w:r w:rsidR="005A406C">
        <w:rPr>
          <w:rFonts w:ascii="Garamond" w:hAnsi="Garamond"/>
        </w:rPr>
        <w:t>“</w:t>
      </w:r>
      <w:r w:rsidR="00784229" w:rsidRPr="0063486D">
        <w:rPr>
          <w:rFonts w:ascii="Garamond" w:hAnsi="Garamond"/>
        </w:rPr>
        <w:t xml:space="preserve">Rally </w:t>
      </w:r>
      <w:r w:rsidR="00784229">
        <w:rPr>
          <w:rFonts w:ascii="Garamond" w:hAnsi="Garamond"/>
        </w:rPr>
        <w:t>E</w:t>
      </w:r>
      <w:r w:rsidR="00784229" w:rsidRPr="0063486D">
        <w:rPr>
          <w:rFonts w:ascii="Garamond" w:hAnsi="Garamond"/>
        </w:rPr>
        <w:t xml:space="preserve">ffects, </w:t>
      </w:r>
      <w:r w:rsidR="00784229">
        <w:rPr>
          <w:rFonts w:ascii="Garamond" w:hAnsi="Garamond"/>
        </w:rPr>
        <w:t>T</w:t>
      </w:r>
      <w:r w:rsidR="00784229" w:rsidRPr="0063486D">
        <w:rPr>
          <w:rFonts w:ascii="Garamond" w:hAnsi="Garamond"/>
        </w:rPr>
        <w:t xml:space="preserve">hreat, and </w:t>
      </w:r>
      <w:r w:rsidR="00784229">
        <w:rPr>
          <w:rFonts w:ascii="Garamond" w:hAnsi="Garamond"/>
        </w:rPr>
        <w:t>A</w:t>
      </w:r>
      <w:r w:rsidRPr="008D0803">
        <w:rPr>
          <w:rFonts w:ascii="Garamond" w:hAnsi="Garamond"/>
        </w:rPr>
        <w:t xml:space="preserve">ttitude </w:t>
      </w:r>
      <w:r w:rsidR="00784229">
        <w:rPr>
          <w:rFonts w:ascii="Garamond" w:hAnsi="Garamond"/>
        </w:rPr>
        <w:t>C</w:t>
      </w:r>
      <w:r w:rsidRPr="008D0803">
        <w:rPr>
          <w:rFonts w:ascii="Garamond" w:hAnsi="Garamond"/>
        </w:rPr>
        <w:t xml:space="preserve">hange: </w:t>
      </w:r>
      <w:r w:rsidR="00784229">
        <w:rPr>
          <w:rFonts w:ascii="Garamond" w:hAnsi="Garamond"/>
        </w:rPr>
        <w:t>A</w:t>
      </w:r>
      <w:r w:rsidR="00784229" w:rsidRPr="0063486D">
        <w:rPr>
          <w:rFonts w:ascii="Garamond" w:hAnsi="Garamond"/>
        </w:rPr>
        <w:t xml:space="preserve">n </w:t>
      </w:r>
      <w:r w:rsidR="00784229">
        <w:rPr>
          <w:rFonts w:ascii="Garamond" w:hAnsi="Garamond"/>
        </w:rPr>
        <w:t>I</w:t>
      </w:r>
      <w:r w:rsidR="00784229" w:rsidRPr="0063486D">
        <w:rPr>
          <w:rFonts w:ascii="Garamond" w:hAnsi="Garamond"/>
        </w:rPr>
        <w:t xml:space="preserve">ntegrative </w:t>
      </w:r>
      <w:r w:rsidR="00784229">
        <w:rPr>
          <w:rFonts w:ascii="Garamond" w:hAnsi="Garamond"/>
        </w:rPr>
        <w:t>A</w:t>
      </w:r>
      <w:r w:rsidR="00784229" w:rsidRPr="0063486D">
        <w:rPr>
          <w:rFonts w:ascii="Garamond" w:hAnsi="Garamond"/>
        </w:rPr>
        <w:t xml:space="preserve">pproach to </w:t>
      </w:r>
      <w:r w:rsidR="00784229">
        <w:rPr>
          <w:rFonts w:ascii="Garamond" w:hAnsi="Garamond"/>
        </w:rPr>
        <w:t>U</w:t>
      </w:r>
      <w:r w:rsidRPr="008D0803">
        <w:rPr>
          <w:rFonts w:ascii="Garamond" w:hAnsi="Garamond"/>
        </w:rPr>
        <w:t>nderstanding th</w:t>
      </w:r>
      <w:r w:rsidR="00784229" w:rsidRPr="0063486D">
        <w:rPr>
          <w:rFonts w:ascii="Garamond" w:hAnsi="Garamond"/>
        </w:rPr>
        <w:t xml:space="preserve">e </w:t>
      </w:r>
      <w:r w:rsidR="00784229">
        <w:rPr>
          <w:rFonts w:ascii="Garamond" w:hAnsi="Garamond"/>
        </w:rPr>
        <w:t>R</w:t>
      </w:r>
      <w:r w:rsidR="00784229" w:rsidRPr="0063486D">
        <w:rPr>
          <w:rFonts w:ascii="Garamond" w:hAnsi="Garamond"/>
        </w:rPr>
        <w:t xml:space="preserve">ole of </w:t>
      </w:r>
      <w:r w:rsidR="00784229">
        <w:rPr>
          <w:rFonts w:ascii="Garamond" w:hAnsi="Garamond"/>
        </w:rPr>
        <w:t>E</w:t>
      </w:r>
      <w:r w:rsidRPr="008D0803">
        <w:rPr>
          <w:rFonts w:ascii="Garamond" w:hAnsi="Garamond"/>
        </w:rPr>
        <w:t>motion.</w:t>
      </w:r>
      <w:r w:rsidR="005A406C">
        <w:rPr>
          <w:rFonts w:ascii="Garamond" w:hAnsi="Garamond"/>
        </w:rPr>
        <w:t>”</w:t>
      </w:r>
      <w:r w:rsidRPr="008D0803">
        <w:rPr>
          <w:rFonts w:ascii="Garamond" w:hAnsi="Garamond"/>
        </w:rPr>
        <w:t xml:space="preserve"> </w:t>
      </w:r>
      <w:r w:rsidRPr="008D0803">
        <w:rPr>
          <w:rFonts w:ascii="Garamond" w:hAnsi="Garamond"/>
          <w:i/>
          <w:iCs/>
        </w:rPr>
        <w:t>Journal of Personality and Social Psychology</w:t>
      </w:r>
      <w:r w:rsidR="00784229" w:rsidRPr="0063486D">
        <w:rPr>
          <w:rFonts w:ascii="Garamond" w:hAnsi="Garamond"/>
        </w:rPr>
        <w:t xml:space="preserve"> 98 (6):</w:t>
      </w:r>
      <w:r w:rsidRPr="008D0803">
        <w:rPr>
          <w:rFonts w:ascii="Garamond" w:hAnsi="Garamond"/>
        </w:rPr>
        <w:t>886–903.</w:t>
      </w:r>
    </w:p>
    <w:p w14:paraId="2D7C2253" w14:textId="7555D58D" w:rsidR="00102EBE" w:rsidRPr="008D0803" w:rsidRDefault="00102EBE" w:rsidP="007A5EB9">
      <w:pPr>
        <w:pStyle w:val="Bibliography"/>
        <w:spacing w:line="480" w:lineRule="auto"/>
        <w:rPr>
          <w:rFonts w:ascii="Garamond" w:hAnsi="Garamond"/>
        </w:rPr>
      </w:pPr>
      <w:r w:rsidRPr="008D0803">
        <w:rPr>
          <w:rFonts w:ascii="Garamond" w:hAnsi="Garamond"/>
        </w:rPr>
        <w:t xml:space="preserve">Lambert, Alan J., J. P. Schott, and Laura Scherer. 2011. </w:t>
      </w:r>
      <w:r w:rsidR="005A406C">
        <w:rPr>
          <w:rFonts w:ascii="Garamond" w:hAnsi="Garamond"/>
        </w:rPr>
        <w:t>“</w:t>
      </w:r>
      <w:r w:rsidRPr="008D0803">
        <w:rPr>
          <w:rFonts w:ascii="Garamond" w:hAnsi="Garamond"/>
        </w:rPr>
        <w:t>Threat, Politics, and Attitudes: Toward a Greater Understanding of Rally-’Round-the-Flag Effects.</w:t>
      </w:r>
      <w:r w:rsidR="005A406C">
        <w:rPr>
          <w:rFonts w:ascii="Garamond" w:hAnsi="Garamond"/>
        </w:rPr>
        <w:t>”</w:t>
      </w:r>
      <w:r w:rsidRPr="008D0803">
        <w:rPr>
          <w:rFonts w:ascii="Garamond" w:hAnsi="Garamond"/>
        </w:rPr>
        <w:t xml:space="preserve"> </w:t>
      </w:r>
      <w:r w:rsidRPr="008D0803">
        <w:rPr>
          <w:rFonts w:ascii="Garamond" w:hAnsi="Garamond"/>
          <w:i/>
          <w:iCs/>
        </w:rPr>
        <w:t>Current Directions in Psychological Science</w:t>
      </w:r>
      <w:r w:rsidR="003579C8" w:rsidRPr="0063486D">
        <w:rPr>
          <w:rFonts w:ascii="Garamond" w:hAnsi="Garamond"/>
        </w:rPr>
        <w:t xml:space="preserve"> 20 (6):</w:t>
      </w:r>
      <w:r w:rsidRPr="008D0803">
        <w:rPr>
          <w:rFonts w:ascii="Garamond" w:hAnsi="Garamond"/>
        </w:rPr>
        <w:t>343–348.</w:t>
      </w:r>
    </w:p>
    <w:p w14:paraId="0E3D977B" w14:textId="77777777" w:rsidR="00102EBE" w:rsidRPr="008D0803" w:rsidRDefault="00102EBE" w:rsidP="007A5EB9">
      <w:pPr>
        <w:pStyle w:val="Bibliography"/>
        <w:spacing w:line="480" w:lineRule="auto"/>
        <w:rPr>
          <w:rFonts w:ascii="Garamond" w:hAnsi="Garamond"/>
        </w:rPr>
      </w:pPr>
      <w:r w:rsidRPr="008D0803">
        <w:rPr>
          <w:rFonts w:ascii="Garamond" w:hAnsi="Garamond"/>
        </w:rPr>
        <w:t xml:space="preserve">Lavoy, Peter René. 2009. </w:t>
      </w:r>
      <w:r w:rsidRPr="008D0803">
        <w:rPr>
          <w:rFonts w:ascii="Garamond" w:hAnsi="Garamond"/>
          <w:i/>
          <w:iCs/>
        </w:rPr>
        <w:t>Asymmetric Warfare in South Asia: The Causes and Consequences of the Kargil Conflict</w:t>
      </w:r>
      <w:r w:rsidRPr="008D0803">
        <w:rPr>
          <w:rFonts w:ascii="Garamond" w:hAnsi="Garamond"/>
        </w:rPr>
        <w:t>. New York: Cambridge University Press.</w:t>
      </w:r>
    </w:p>
    <w:p w14:paraId="6BE90E8A" w14:textId="7BD2698F" w:rsidR="00102EBE" w:rsidRPr="008D0803" w:rsidRDefault="00102EBE" w:rsidP="007A5EB9">
      <w:pPr>
        <w:pStyle w:val="Bibliography"/>
        <w:spacing w:line="480" w:lineRule="auto"/>
        <w:rPr>
          <w:rFonts w:ascii="Garamond" w:hAnsi="Garamond"/>
        </w:rPr>
      </w:pPr>
      <w:r w:rsidRPr="008D0803">
        <w:rPr>
          <w:rFonts w:ascii="Garamond" w:hAnsi="Garamond"/>
        </w:rPr>
        <w:t xml:space="preserve">Lerner, Jennifer S., Roxana M. Gonzalez, Deborah A. Small, and Baruch Fischhoff. 2003. </w:t>
      </w:r>
      <w:r w:rsidR="005A406C">
        <w:rPr>
          <w:rFonts w:ascii="Garamond" w:hAnsi="Garamond"/>
        </w:rPr>
        <w:t>“</w:t>
      </w:r>
      <w:r w:rsidRPr="008D0803">
        <w:rPr>
          <w:rFonts w:ascii="Garamond" w:hAnsi="Garamond"/>
        </w:rPr>
        <w:t>Effects of Fear and Anger on Perceived Risks of Terrorism: A National Field Experiment.</w:t>
      </w:r>
      <w:r w:rsidR="005A406C">
        <w:rPr>
          <w:rFonts w:ascii="Garamond" w:hAnsi="Garamond"/>
        </w:rPr>
        <w:t>”</w:t>
      </w:r>
      <w:r w:rsidRPr="008D0803">
        <w:rPr>
          <w:rFonts w:ascii="Garamond" w:hAnsi="Garamond"/>
        </w:rPr>
        <w:t xml:space="preserve"> </w:t>
      </w:r>
      <w:r w:rsidRPr="008D0803">
        <w:rPr>
          <w:rFonts w:ascii="Garamond" w:hAnsi="Garamond"/>
          <w:i/>
          <w:iCs/>
        </w:rPr>
        <w:t>Psychological Science</w:t>
      </w:r>
      <w:r w:rsidR="00F87208" w:rsidRPr="0063486D">
        <w:rPr>
          <w:rFonts w:ascii="Garamond" w:hAnsi="Garamond"/>
        </w:rPr>
        <w:t xml:space="preserve"> 14 (2):</w:t>
      </w:r>
      <w:r w:rsidRPr="008D0803">
        <w:rPr>
          <w:rFonts w:ascii="Garamond" w:hAnsi="Garamond"/>
        </w:rPr>
        <w:t>144–150.</w:t>
      </w:r>
    </w:p>
    <w:p w14:paraId="66DFC190" w14:textId="59828E06" w:rsidR="00102EBE" w:rsidRPr="008D0803" w:rsidRDefault="00102EBE" w:rsidP="007A5EB9">
      <w:pPr>
        <w:pStyle w:val="Bibliography"/>
        <w:spacing w:line="480" w:lineRule="auto"/>
        <w:rPr>
          <w:rFonts w:ascii="Garamond" w:hAnsi="Garamond"/>
        </w:rPr>
      </w:pPr>
      <w:r w:rsidRPr="008D0803">
        <w:rPr>
          <w:rFonts w:ascii="Garamond" w:hAnsi="Garamond"/>
        </w:rPr>
        <w:t xml:space="preserve">Levendusky, Matthew S., and Michael C. Horowitz. 2012. </w:t>
      </w:r>
      <w:r w:rsidR="005A406C">
        <w:rPr>
          <w:rFonts w:ascii="Garamond" w:hAnsi="Garamond"/>
        </w:rPr>
        <w:t>“</w:t>
      </w:r>
      <w:r w:rsidRPr="008D0803">
        <w:rPr>
          <w:rFonts w:ascii="Garamond" w:hAnsi="Garamond"/>
        </w:rPr>
        <w:t>When Backing Down Is the Right Decision: Partisanship, New Information, and Audience Costs.</w:t>
      </w:r>
      <w:r w:rsidR="005A406C">
        <w:rPr>
          <w:rFonts w:ascii="Garamond" w:hAnsi="Garamond"/>
        </w:rPr>
        <w:t>”</w:t>
      </w:r>
      <w:r w:rsidRPr="008D0803">
        <w:rPr>
          <w:rFonts w:ascii="Garamond" w:hAnsi="Garamond"/>
        </w:rPr>
        <w:t xml:space="preserve"> </w:t>
      </w:r>
      <w:r w:rsidRPr="008D0803">
        <w:rPr>
          <w:rFonts w:ascii="Garamond" w:hAnsi="Garamond"/>
          <w:i/>
          <w:iCs/>
        </w:rPr>
        <w:t>The Journal of Politics</w:t>
      </w:r>
      <w:r w:rsidR="00F87208" w:rsidRPr="0063486D">
        <w:rPr>
          <w:rFonts w:ascii="Garamond" w:hAnsi="Garamond"/>
        </w:rPr>
        <w:t xml:space="preserve"> 74 (2):</w:t>
      </w:r>
      <w:r w:rsidRPr="008D0803">
        <w:rPr>
          <w:rFonts w:ascii="Garamond" w:hAnsi="Garamond"/>
        </w:rPr>
        <w:t>323–338.</w:t>
      </w:r>
    </w:p>
    <w:p w14:paraId="31118DDA" w14:textId="592799DA" w:rsidR="00102EBE" w:rsidRPr="008D0803" w:rsidRDefault="00102EBE" w:rsidP="007A5EB9">
      <w:pPr>
        <w:pStyle w:val="Bibliography"/>
        <w:spacing w:line="480" w:lineRule="auto"/>
        <w:rPr>
          <w:rFonts w:ascii="Garamond" w:hAnsi="Garamond"/>
        </w:rPr>
      </w:pPr>
      <w:r w:rsidRPr="008D0803">
        <w:rPr>
          <w:rFonts w:ascii="Garamond" w:hAnsi="Garamond"/>
        </w:rPr>
        <w:t xml:space="preserve">Lewis-Beck, Michael S., and Mary Stegmaier. 2000. </w:t>
      </w:r>
      <w:r w:rsidR="005A406C">
        <w:rPr>
          <w:rFonts w:ascii="Garamond" w:hAnsi="Garamond"/>
        </w:rPr>
        <w:t>“</w:t>
      </w:r>
      <w:r w:rsidRPr="008D0803">
        <w:rPr>
          <w:rFonts w:ascii="Garamond" w:hAnsi="Garamond"/>
        </w:rPr>
        <w:t>Economic Determinants of Electoral Outcomes.</w:t>
      </w:r>
      <w:r w:rsidR="005A406C">
        <w:rPr>
          <w:rFonts w:ascii="Garamond" w:hAnsi="Garamond"/>
        </w:rPr>
        <w:t>”</w:t>
      </w:r>
      <w:r w:rsidRPr="008D0803">
        <w:rPr>
          <w:rFonts w:ascii="Garamond" w:hAnsi="Garamond"/>
        </w:rPr>
        <w:t xml:space="preserve"> </w:t>
      </w:r>
      <w:r w:rsidRPr="008D0803">
        <w:rPr>
          <w:rFonts w:ascii="Garamond" w:hAnsi="Garamond"/>
          <w:i/>
          <w:iCs/>
        </w:rPr>
        <w:t>Annual Review of Political Science</w:t>
      </w:r>
      <w:r w:rsidR="00F87208" w:rsidRPr="0063486D">
        <w:rPr>
          <w:rFonts w:ascii="Garamond" w:hAnsi="Garamond"/>
        </w:rPr>
        <w:t xml:space="preserve"> 3 (1):</w:t>
      </w:r>
      <w:r w:rsidRPr="008D0803">
        <w:rPr>
          <w:rFonts w:ascii="Garamond" w:hAnsi="Garamond"/>
        </w:rPr>
        <w:t>183–219.</w:t>
      </w:r>
    </w:p>
    <w:p w14:paraId="097BA430" w14:textId="43F4ADAE" w:rsidR="00102EBE" w:rsidRPr="008D0803" w:rsidRDefault="00102EBE" w:rsidP="007A5EB9">
      <w:pPr>
        <w:pStyle w:val="Bibliography"/>
        <w:spacing w:line="480" w:lineRule="auto"/>
        <w:rPr>
          <w:rFonts w:ascii="Garamond" w:hAnsi="Garamond"/>
        </w:rPr>
      </w:pPr>
      <w:r w:rsidRPr="008D0803">
        <w:rPr>
          <w:rFonts w:ascii="Garamond" w:hAnsi="Garamond"/>
        </w:rPr>
        <w:t xml:space="preserve">Mansfield, Edward D., and Jack Snyder. 2007. </w:t>
      </w:r>
      <w:r w:rsidRPr="008D0803">
        <w:rPr>
          <w:rFonts w:ascii="Garamond" w:hAnsi="Garamond"/>
          <w:i/>
          <w:iCs/>
        </w:rPr>
        <w:t>Electing to Fight: Why Emerging Democracies Go to War</w:t>
      </w:r>
      <w:r w:rsidRPr="008D0803">
        <w:rPr>
          <w:rFonts w:ascii="Garamond" w:hAnsi="Garamond"/>
        </w:rPr>
        <w:t xml:space="preserve">. </w:t>
      </w:r>
      <w:r w:rsidR="0083200D">
        <w:rPr>
          <w:rFonts w:ascii="Garamond" w:hAnsi="Garamond"/>
        </w:rPr>
        <w:t xml:space="preserve">Cambridge, MA: </w:t>
      </w:r>
      <w:r w:rsidRPr="008D0803">
        <w:rPr>
          <w:rFonts w:ascii="Garamond" w:hAnsi="Garamond"/>
        </w:rPr>
        <w:t>MIT Press.</w:t>
      </w:r>
    </w:p>
    <w:p w14:paraId="7C1BB2A8" w14:textId="77777777" w:rsidR="00102EBE" w:rsidRPr="008D0803" w:rsidRDefault="00102EBE" w:rsidP="007A5EB9">
      <w:pPr>
        <w:pStyle w:val="Bibliography"/>
        <w:spacing w:line="480" w:lineRule="auto"/>
        <w:rPr>
          <w:rFonts w:ascii="Garamond" w:hAnsi="Garamond"/>
        </w:rPr>
      </w:pPr>
      <w:r w:rsidRPr="008D0803">
        <w:rPr>
          <w:rFonts w:ascii="Garamond" w:hAnsi="Garamond"/>
        </w:rPr>
        <w:t xml:space="preserve">Marshall, Monty G., Ted Robert Gurr, and Keith Jaggers. 2017. </w:t>
      </w:r>
      <w:r w:rsidRPr="008D0803">
        <w:rPr>
          <w:rFonts w:ascii="Garamond" w:hAnsi="Garamond"/>
          <w:i/>
          <w:iCs/>
        </w:rPr>
        <w:t>Polity IV Project: Political Regime Characteristics and Transitions, 1800-2016</w:t>
      </w:r>
      <w:r w:rsidRPr="008D0803">
        <w:rPr>
          <w:rFonts w:ascii="Garamond" w:hAnsi="Garamond"/>
        </w:rPr>
        <w:t>. Vienna, VA: Center for Systemic Peace.</w:t>
      </w:r>
    </w:p>
    <w:p w14:paraId="4DA1E3D2" w14:textId="45F0B732" w:rsidR="00102EBE" w:rsidRPr="008D0803" w:rsidRDefault="00102EBE" w:rsidP="007A5EB9">
      <w:pPr>
        <w:pStyle w:val="Bibliography"/>
        <w:spacing w:line="480" w:lineRule="auto"/>
        <w:rPr>
          <w:rFonts w:ascii="Garamond" w:hAnsi="Garamond"/>
        </w:rPr>
      </w:pPr>
      <w:r w:rsidRPr="008D0803">
        <w:rPr>
          <w:rFonts w:ascii="Garamond" w:hAnsi="Garamond"/>
        </w:rPr>
        <w:lastRenderedPageBreak/>
        <w:t xml:space="preserve">Martin, Lisa L. 1993. </w:t>
      </w:r>
      <w:r w:rsidR="005A406C">
        <w:rPr>
          <w:rFonts w:ascii="Garamond" w:hAnsi="Garamond"/>
        </w:rPr>
        <w:t>“</w:t>
      </w:r>
      <w:r w:rsidRPr="008D0803">
        <w:rPr>
          <w:rFonts w:ascii="Garamond" w:hAnsi="Garamond"/>
        </w:rPr>
        <w:t>Credibility, Costs, and Institutions: Cooperation on Economic Sanctions.</w:t>
      </w:r>
      <w:r w:rsidR="005A406C">
        <w:rPr>
          <w:rFonts w:ascii="Garamond" w:hAnsi="Garamond"/>
        </w:rPr>
        <w:t>”</w:t>
      </w:r>
      <w:r w:rsidRPr="008D0803">
        <w:rPr>
          <w:rFonts w:ascii="Garamond" w:hAnsi="Garamond"/>
        </w:rPr>
        <w:t xml:space="preserve"> </w:t>
      </w:r>
      <w:r w:rsidRPr="008D0803">
        <w:rPr>
          <w:rFonts w:ascii="Garamond" w:hAnsi="Garamond"/>
          <w:i/>
          <w:iCs/>
        </w:rPr>
        <w:t>World Politics</w:t>
      </w:r>
      <w:r w:rsidR="00A478AC" w:rsidRPr="0063486D">
        <w:rPr>
          <w:rFonts w:ascii="Garamond" w:hAnsi="Garamond"/>
        </w:rPr>
        <w:t xml:space="preserve"> 45 (3):</w:t>
      </w:r>
      <w:r w:rsidRPr="008D0803">
        <w:rPr>
          <w:rFonts w:ascii="Garamond" w:hAnsi="Garamond"/>
        </w:rPr>
        <w:t>406–432.</w:t>
      </w:r>
    </w:p>
    <w:p w14:paraId="56ADD4D1" w14:textId="4E790300" w:rsidR="00102EBE" w:rsidRPr="008D0803" w:rsidRDefault="00102EBE" w:rsidP="007A5EB9">
      <w:pPr>
        <w:pStyle w:val="Bibliography"/>
        <w:spacing w:line="480" w:lineRule="auto"/>
        <w:rPr>
          <w:rFonts w:ascii="Garamond" w:hAnsi="Garamond"/>
        </w:rPr>
      </w:pPr>
      <w:r w:rsidRPr="008D0803">
        <w:rPr>
          <w:rFonts w:ascii="Garamond" w:hAnsi="Garamond"/>
        </w:rPr>
        <w:t xml:space="preserve">Mattes, Michaela, and Jessica L.P. Weeks. 2018. </w:t>
      </w:r>
      <w:r w:rsidR="005A406C">
        <w:rPr>
          <w:rFonts w:ascii="Garamond" w:hAnsi="Garamond"/>
        </w:rPr>
        <w:t>“</w:t>
      </w:r>
      <w:r w:rsidRPr="008D0803">
        <w:rPr>
          <w:rFonts w:ascii="Garamond" w:hAnsi="Garamond"/>
        </w:rPr>
        <w:t>Hawks, Doves, and Peace: An Experimental Approach.</w:t>
      </w:r>
      <w:r w:rsidR="005A406C">
        <w:rPr>
          <w:rFonts w:ascii="Garamond" w:hAnsi="Garamond"/>
        </w:rPr>
        <w:t>”</w:t>
      </w:r>
      <w:r w:rsidRPr="008D0803">
        <w:rPr>
          <w:rFonts w:ascii="Garamond" w:hAnsi="Garamond"/>
        </w:rPr>
        <w:t xml:space="preserve"> Working Paper.</w:t>
      </w:r>
    </w:p>
    <w:p w14:paraId="25D005E5" w14:textId="5C1B0B2E" w:rsidR="006835D0" w:rsidRDefault="006835D0" w:rsidP="007A5EB9">
      <w:pPr>
        <w:pStyle w:val="Bibliography"/>
        <w:spacing w:line="480" w:lineRule="auto"/>
        <w:rPr>
          <w:rFonts w:ascii="Garamond" w:hAnsi="Garamond"/>
        </w:rPr>
      </w:pPr>
      <w:r>
        <w:rPr>
          <w:rFonts w:ascii="Garamond" w:hAnsi="Garamond"/>
        </w:rPr>
        <w:t xml:space="preserve">Menon, Shivshankar. 2016. </w:t>
      </w:r>
      <w:r w:rsidRPr="008D0803">
        <w:rPr>
          <w:rFonts w:ascii="Garamond" w:hAnsi="Garamond"/>
          <w:i/>
        </w:rPr>
        <w:t>Choices</w:t>
      </w:r>
      <w:r w:rsidR="00D27782">
        <w:rPr>
          <w:rFonts w:ascii="Garamond" w:hAnsi="Garamond"/>
          <w:i/>
        </w:rPr>
        <w:t>: Inside the Making of India’s Foreign Policy</w:t>
      </w:r>
      <w:r>
        <w:rPr>
          <w:rFonts w:ascii="Garamond" w:hAnsi="Garamond"/>
        </w:rPr>
        <w:t>, Washington, DC: Brookings Institution</w:t>
      </w:r>
      <w:r w:rsidR="00D27782">
        <w:rPr>
          <w:rFonts w:ascii="Garamond" w:hAnsi="Garamond"/>
        </w:rPr>
        <w:t xml:space="preserve"> Press</w:t>
      </w:r>
      <w:r>
        <w:rPr>
          <w:rFonts w:ascii="Garamond" w:hAnsi="Garamond"/>
        </w:rPr>
        <w:t>.</w:t>
      </w:r>
    </w:p>
    <w:p w14:paraId="65CA347C" w14:textId="6D707340" w:rsidR="00102EBE" w:rsidRPr="008D0803" w:rsidRDefault="00102EBE" w:rsidP="007A5EB9">
      <w:pPr>
        <w:pStyle w:val="Bibliography"/>
        <w:spacing w:line="480" w:lineRule="auto"/>
        <w:rPr>
          <w:rFonts w:ascii="Garamond" w:hAnsi="Garamond"/>
        </w:rPr>
      </w:pPr>
      <w:r w:rsidRPr="008D0803">
        <w:rPr>
          <w:rFonts w:ascii="Garamond" w:hAnsi="Garamond"/>
        </w:rPr>
        <w:t xml:space="preserve">Milam, William B., and Matthew J. Nelson. 2013. </w:t>
      </w:r>
      <w:r w:rsidR="005A406C">
        <w:rPr>
          <w:rFonts w:ascii="Garamond" w:hAnsi="Garamond"/>
        </w:rPr>
        <w:t>“</w:t>
      </w:r>
      <w:r w:rsidRPr="008D0803">
        <w:rPr>
          <w:rFonts w:ascii="Garamond" w:hAnsi="Garamond"/>
        </w:rPr>
        <w:t>Pakistan’s Populist Foreign Policy.</w:t>
      </w:r>
      <w:r w:rsidR="005A406C">
        <w:rPr>
          <w:rFonts w:ascii="Garamond" w:hAnsi="Garamond"/>
        </w:rPr>
        <w:t>”</w:t>
      </w:r>
      <w:r w:rsidRPr="008D0803">
        <w:rPr>
          <w:rFonts w:ascii="Garamond" w:hAnsi="Garamond"/>
        </w:rPr>
        <w:t xml:space="preserve"> </w:t>
      </w:r>
      <w:r w:rsidRPr="008D0803">
        <w:rPr>
          <w:rFonts w:ascii="Garamond" w:hAnsi="Garamond"/>
          <w:i/>
          <w:iCs/>
        </w:rPr>
        <w:t>Survival</w:t>
      </w:r>
      <w:r w:rsidR="00A478AC" w:rsidRPr="0063486D">
        <w:rPr>
          <w:rFonts w:ascii="Garamond" w:hAnsi="Garamond"/>
        </w:rPr>
        <w:t xml:space="preserve"> 55 (1):</w:t>
      </w:r>
      <w:r w:rsidRPr="008D0803">
        <w:rPr>
          <w:rFonts w:ascii="Garamond" w:hAnsi="Garamond"/>
        </w:rPr>
        <w:t>121–134.</w:t>
      </w:r>
    </w:p>
    <w:p w14:paraId="194C5BBB" w14:textId="5B8D316E" w:rsidR="00102EBE" w:rsidRPr="008D0803" w:rsidRDefault="00102EBE" w:rsidP="007A5EB9">
      <w:pPr>
        <w:pStyle w:val="Bibliography"/>
        <w:spacing w:line="480" w:lineRule="auto"/>
        <w:rPr>
          <w:rFonts w:ascii="Garamond" w:hAnsi="Garamond"/>
        </w:rPr>
      </w:pPr>
      <w:r w:rsidRPr="008D0803">
        <w:rPr>
          <w:rFonts w:ascii="Garamond" w:hAnsi="Garamond"/>
        </w:rPr>
        <w:t xml:space="preserve">Mueller, John E. 1970. </w:t>
      </w:r>
      <w:r w:rsidR="005A406C">
        <w:rPr>
          <w:rFonts w:ascii="Garamond" w:hAnsi="Garamond"/>
        </w:rPr>
        <w:t>“</w:t>
      </w:r>
      <w:r w:rsidRPr="008D0803">
        <w:rPr>
          <w:rFonts w:ascii="Garamond" w:hAnsi="Garamond"/>
        </w:rPr>
        <w:t>Presidential Popularity from Truman to Johnson.</w:t>
      </w:r>
      <w:r w:rsidR="005A406C">
        <w:rPr>
          <w:rFonts w:ascii="Garamond" w:hAnsi="Garamond"/>
        </w:rPr>
        <w:t>”</w:t>
      </w:r>
      <w:r w:rsidRPr="008D0803">
        <w:rPr>
          <w:rFonts w:ascii="Garamond" w:hAnsi="Garamond"/>
        </w:rPr>
        <w:t xml:space="preserve"> </w:t>
      </w:r>
      <w:r w:rsidRPr="008D0803">
        <w:rPr>
          <w:rFonts w:ascii="Garamond" w:hAnsi="Garamond"/>
          <w:i/>
          <w:iCs/>
        </w:rPr>
        <w:t>American Political Science Review</w:t>
      </w:r>
      <w:r w:rsidR="00A478AC" w:rsidRPr="0063486D">
        <w:rPr>
          <w:rFonts w:ascii="Garamond" w:hAnsi="Garamond"/>
        </w:rPr>
        <w:t xml:space="preserve"> 64 (1):</w:t>
      </w:r>
      <w:r w:rsidRPr="008D0803">
        <w:rPr>
          <w:rFonts w:ascii="Garamond" w:hAnsi="Garamond"/>
        </w:rPr>
        <w:t>18–34.</w:t>
      </w:r>
    </w:p>
    <w:p w14:paraId="2167D0E1" w14:textId="1D942A96" w:rsidR="00102EBE" w:rsidRPr="008D0803" w:rsidRDefault="00102EBE" w:rsidP="007A5EB9">
      <w:pPr>
        <w:pStyle w:val="Bibliography"/>
        <w:spacing w:line="480" w:lineRule="auto"/>
        <w:rPr>
          <w:rFonts w:ascii="Garamond" w:hAnsi="Garamond"/>
        </w:rPr>
      </w:pPr>
      <w:r w:rsidRPr="008D0803">
        <w:rPr>
          <w:rFonts w:ascii="Garamond" w:hAnsi="Garamond"/>
        </w:rPr>
        <w:t xml:space="preserve">Mueller, John E. 1973. </w:t>
      </w:r>
      <w:r w:rsidRPr="008D0803">
        <w:rPr>
          <w:rFonts w:ascii="Garamond" w:hAnsi="Garamond"/>
          <w:i/>
          <w:iCs/>
        </w:rPr>
        <w:t>War, Presidents, and Public Opinion</w:t>
      </w:r>
      <w:r w:rsidRPr="008D0803">
        <w:rPr>
          <w:rFonts w:ascii="Garamond" w:hAnsi="Garamond"/>
        </w:rPr>
        <w:t xml:space="preserve">. </w:t>
      </w:r>
      <w:r w:rsidR="00A478AC">
        <w:rPr>
          <w:rFonts w:ascii="Garamond" w:hAnsi="Garamond"/>
        </w:rPr>
        <w:t xml:space="preserve">New York: </w:t>
      </w:r>
      <w:r w:rsidRPr="008D0803">
        <w:rPr>
          <w:rFonts w:ascii="Garamond" w:hAnsi="Garamond"/>
        </w:rPr>
        <w:t>John Wiley &amp; Sons.</w:t>
      </w:r>
    </w:p>
    <w:p w14:paraId="58EF7290" w14:textId="50E1517A" w:rsidR="006835D0" w:rsidRDefault="006835D0" w:rsidP="007A5EB9">
      <w:pPr>
        <w:pStyle w:val="Bibliography"/>
        <w:spacing w:line="480" w:lineRule="auto"/>
        <w:rPr>
          <w:rFonts w:ascii="Garamond" w:hAnsi="Garamond"/>
        </w:rPr>
      </w:pPr>
      <w:r>
        <w:rPr>
          <w:rFonts w:ascii="Garamond" w:hAnsi="Garamond"/>
        </w:rPr>
        <w:t xml:space="preserve">Musharraf, Pervez. 2004. </w:t>
      </w:r>
      <w:r w:rsidR="005A406C">
        <w:rPr>
          <w:rFonts w:ascii="Garamond" w:hAnsi="Garamond"/>
        </w:rPr>
        <w:t>“</w:t>
      </w:r>
      <w:r>
        <w:rPr>
          <w:rFonts w:ascii="Garamond" w:hAnsi="Garamond"/>
        </w:rPr>
        <w:t xml:space="preserve">An Interview with </w:t>
      </w:r>
      <w:r w:rsidR="00D27782">
        <w:rPr>
          <w:rFonts w:ascii="Garamond" w:hAnsi="Garamond"/>
        </w:rPr>
        <w:t xml:space="preserve">Pakistan </w:t>
      </w:r>
      <w:r>
        <w:rPr>
          <w:rFonts w:ascii="Garamond" w:hAnsi="Garamond"/>
        </w:rPr>
        <w:t>President Pervez Musharraf.</w:t>
      </w:r>
      <w:r w:rsidR="005A406C">
        <w:rPr>
          <w:rFonts w:ascii="Garamond" w:hAnsi="Garamond"/>
        </w:rPr>
        <w:t>”</w:t>
      </w:r>
      <w:r w:rsidR="00D27782">
        <w:rPr>
          <w:rFonts w:ascii="Garamond" w:hAnsi="Garamond"/>
        </w:rPr>
        <w:t xml:space="preserve"> </w:t>
      </w:r>
      <w:r w:rsidR="00D27782" w:rsidRPr="008D0803">
        <w:rPr>
          <w:rFonts w:ascii="Garamond" w:hAnsi="Garamond"/>
          <w:i/>
        </w:rPr>
        <w:t>New York Times</w:t>
      </w:r>
      <w:r w:rsidR="00D27782">
        <w:rPr>
          <w:rFonts w:ascii="Garamond" w:hAnsi="Garamond"/>
        </w:rPr>
        <w:t xml:space="preserve">. </w:t>
      </w:r>
      <w:r w:rsidR="00B04175">
        <w:rPr>
          <w:rFonts w:ascii="Garamond" w:hAnsi="Garamond"/>
        </w:rPr>
        <w:t xml:space="preserve">Available at </w:t>
      </w:r>
      <w:r w:rsidR="00D27782">
        <w:rPr>
          <w:rFonts w:ascii="Garamond" w:hAnsi="Garamond"/>
        </w:rPr>
        <w:t>&lt;</w:t>
      </w:r>
      <w:hyperlink r:id="rId10" w:history="1">
        <w:r w:rsidR="00B04175" w:rsidRPr="00A700BC">
          <w:rPr>
            <w:rStyle w:val="Hyperlink"/>
            <w:rFonts w:ascii="Garamond" w:hAnsi="Garamond"/>
          </w:rPr>
          <w:t>https://www.nytimes.com/2004/02/15/international/asia/an-interview-with-pakistan-president-pervez-musharraf.html</w:t>
        </w:r>
      </w:hyperlink>
      <w:r w:rsidR="00D27782">
        <w:rPr>
          <w:rFonts w:ascii="Garamond" w:hAnsi="Garamond"/>
        </w:rPr>
        <w:t>&gt;</w:t>
      </w:r>
      <w:r w:rsidR="00B04175">
        <w:rPr>
          <w:rFonts w:ascii="Garamond" w:hAnsi="Garamond"/>
        </w:rPr>
        <w:t>. Accessed 18 September 2018.</w:t>
      </w:r>
    </w:p>
    <w:p w14:paraId="26C50734" w14:textId="2106CBD7" w:rsidR="00102EBE" w:rsidRPr="008D0803" w:rsidRDefault="00102EBE" w:rsidP="007A5EB9">
      <w:pPr>
        <w:pStyle w:val="Bibliography"/>
        <w:spacing w:line="480" w:lineRule="auto"/>
        <w:rPr>
          <w:rFonts w:ascii="Garamond" w:hAnsi="Garamond"/>
        </w:rPr>
      </w:pPr>
      <w:r w:rsidRPr="008D0803">
        <w:rPr>
          <w:rFonts w:ascii="Garamond" w:hAnsi="Garamond"/>
        </w:rPr>
        <w:t>Nara</w:t>
      </w:r>
      <w:r w:rsidR="007465F8" w:rsidRPr="0063486D">
        <w:rPr>
          <w:rFonts w:ascii="Garamond" w:hAnsi="Garamond"/>
        </w:rPr>
        <w:t xml:space="preserve">ng, Vipin. 2016. </w:t>
      </w:r>
      <w:r w:rsidR="005A406C">
        <w:rPr>
          <w:rFonts w:ascii="Garamond" w:hAnsi="Garamond"/>
        </w:rPr>
        <w:t>“</w:t>
      </w:r>
      <w:r w:rsidR="007465F8" w:rsidRPr="0063486D">
        <w:rPr>
          <w:rFonts w:ascii="Garamond" w:hAnsi="Garamond"/>
        </w:rPr>
        <w:t xml:space="preserve">The </w:t>
      </w:r>
      <w:r w:rsidR="007465F8">
        <w:rPr>
          <w:rFonts w:ascii="Garamond" w:hAnsi="Garamond"/>
        </w:rPr>
        <w:t>L</w:t>
      </w:r>
      <w:r w:rsidR="007465F8" w:rsidRPr="0063486D">
        <w:rPr>
          <w:rFonts w:ascii="Garamond" w:hAnsi="Garamond"/>
        </w:rPr>
        <w:t xml:space="preserve">ines </w:t>
      </w:r>
      <w:r w:rsidR="007465F8">
        <w:rPr>
          <w:rFonts w:ascii="Garamond" w:hAnsi="Garamond"/>
        </w:rPr>
        <w:t>T</w:t>
      </w:r>
      <w:r w:rsidR="007465F8" w:rsidRPr="0063486D">
        <w:rPr>
          <w:rFonts w:ascii="Garamond" w:hAnsi="Garamond"/>
        </w:rPr>
        <w:t xml:space="preserve">hat </w:t>
      </w:r>
      <w:r w:rsidR="007465F8">
        <w:rPr>
          <w:rFonts w:ascii="Garamond" w:hAnsi="Garamond"/>
        </w:rPr>
        <w:t>H</w:t>
      </w:r>
      <w:r w:rsidR="007465F8" w:rsidRPr="0063486D">
        <w:rPr>
          <w:rFonts w:ascii="Garamond" w:hAnsi="Garamond"/>
        </w:rPr>
        <w:t xml:space="preserve">ave </w:t>
      </w:r>
      <w:r w:rsidR="007465F8">
        <w:rPr>
          <w:rFonts w:ascii="Garamond" w:hAnsi="Garamond"/>
        </w:rPr>
        <w:t>B</w:t>
      </w:r>
      <w:r w:rsidR="007465F8" w:rsidRPr="0063486D">
        <w:rPr>
          <w:rFonts w:ascii="Garamond" w:hAnsi="Garamond"/>
        </w:rPr>
        <w:t xml:space="preserve">een </w:t>
      </w:r>
      <w:r w:rsidR="007465F8">
        <w:rPr>
          <w:rFonts w:ascii="Garamond" w:hAnsi="Garamond"/>
        </w:rPr>
        <w:t>Cr</w:t>
      </w:r>
      <w:r w:rsidRPr="008D0803">
        <w:rPr>
          <w:rFonts w:ascii="Garamond" w:hAnsi="Garamond"/>
        </w:rPr>
        <w:t>ossed.</w:t>
      </w:r>
      <w:r w:rsidR="005A406C">
        <w:rPr>
          <w:rFonts w:ascii="Garamond" w:hAnsi="Garamond"/>
        </w:rPr>
        <w:t>”</w:t>
      </w:r>
      <w:r w:rsidRPr="008D0803">
        <w:rPr>
          <w:rFonts w:ascii="Garamond" w:hAnsi="Garamond"/>
        </w:rPr>
        <w:t xml:space="preserve"> </w:t>
      </w:r>
      <w:r w:rsidRPr="008D0803">
        <w:rPr>
          <w:rFonts w:ascii="Garamond" w:hAnsi="Garamond"/>
          <w:i/>
          <w:iCs/>
        </w:rPr>
        <w:t>The Hindu</w:t>
      </w:r>
      <w:r w:rsidRPr="008D0803">
        <w:rPr>
          <w:rFonts w:ascii="Garamond" w:hAnsi="Garamond"/>
        </w:rPr>
        <w:t>. Available at &lt;https://www.thehindu.com/opinion/lead/The-lines-that-have-been-crossed/a</w:t>
      </w:r>
      <w:r w:rsidR="00D727D7" w:rsidRPr="0063486D">
        <w:rPr>
          <w:rFonts w:ascii="Garamond" w:hAnsi="Garamond"/>
        </w:rPr>
        <w:t>rticle15424210.ece&gt;. Accessed 1</w:t>
      </w:r>
      <w:r w:rsidR="00D727D7">
        <w:rPr>
          <w:rFonts w:ascii="Garamond" w:hAnsi="Garamond"/>
        </w:rPr>
        <w:t>0</w:t>
      </w:r>
      <w:r w:rsidRPr="008D0803">
        <w:rPr>
          <w:rFonts w:ascii="Garamond" w:hAnsi="Garamond"/>
        </w:rPr>
        <w:t xml:space="preserve"> September 2018.</w:t>
      </w:r>
    </w:p>
    <w:p w14:paraId="57220282" w14:textId="0D6DE915" w:rsidR="00102EBE" w:rsidRPr="008D0803" w:rsidRDefault="00102EBE" w:rsidP="007A5EB9">
      <w:pPr>
        <w:pStyle w:val="Bibliography"/>
        <w:spacing w:line="480" w:lineRule="auto"/>
        <w:rPr>
          <w:rFonts w:ascii="Garamond" w:hAnsi="Garamond"/>
        </w:rPr>
      </w:pPr>
      <w:r w:rsidRPr="008D0803">
        <w:rPr>
          <w:rFonts w:ascii="Garamond" w:hAnsi="Garamond"/>
        </w:rPr>
        <w:t xml:space="preserve">Quek, Kai, and Alastair Iain Johnston. 2017. </w:t>
      </w:r>
      <w:r w:rsidR="005A406C">
        <w:rPr>
          <w:rFonts w:ascii="Garamond" w:hAnsi="Garamond"/>
        </w:rPr>
        <w:t>“</w:t>
      </w:r>
      <w:r w:rsidRPr="008D0803">
        <w:rPr>
          <w:rFonts w:ascii="Garamond" w:hAnsi="Garamond"/>
        </w:rPr>
        <w:t>Can China Back Down? Crisis De-escalation in the Shadow of Popular Opposition.</w:t>
      </w:r>
      <w:r w:rsidR="005A406C">
        <w:rPr>
          <w:rFonts w:ascii="Garamond" w:hAnsi="Garamond"/>
        </w:rPr>
        <w:t>”</w:t>
      </w:r>
      <w:r w:rsidRPr="008D0803">
        <w:rPr>
          <w:rFonts w:ascii="Garamond" w:hAnsi="Garamond"/>
        </w:rPr>
        <w:t xml:space="preserve"> </w:t>
      </w:r>
      <w:r w:rsidRPr="008D0803">
        <w:rPr>
          <w:rFonts w:ascii="Garamond" w:hAnsi="Garamond"/>
          <w:i/>
          <w:iCs/>
        </w:rPr>
        <w:t>International Security</w:t>
      </w:r>
      <w:r w:rsidR="00916315" w:rsidRPr="0063486D">
        <w:rPr>
          <w:rFonts w:ascii="Garamond" w:hAnsi="Garamond"/>
        </w:rPr>
        <w:t xml:space="preserve"> 42 (3):</w:t>
      </w:r>
      <w:r w:rsidRPr="008D0803">
        <w:rPr>
          <w:rFonts w:ascii="Garamond" w:hAnsi="Garamond"/>
        </w:rPr>
        <w:t>7–36.</w:t>
      </w:r>
    </w:p>
    <w:p w14:paraId="4EC725D8" w14:textId="39FFDCE4" w:rsidR="00102EBE" w:rsidRPr="008D0803" w:rsidRDefault="00102EBE" w:rsidP="007A5EB9">
      <w:pPr>
        <w:pStyle w:val="Bibliography"/>
        <w:spacing w:line="480" w:lineRule="auto"/>
        <w:rPr>
          <w:rFonts w:ascii="Garamond" w:hAnsi="Garamond"/>
        </w:rPr>
      </w:pPr>
      <w:r w:rsidRPr="008D0803">
        <w:rPr>
          <w:rFonts w:ascii="Garamond" w:hAnsi="Garamond"/>
        </w:rPr>
        <w:t xml:space="preserve">Riedel, Bruce. 2009. </w:t>
      </w:r>
      <w:r w:rsidR="005A406C">
        <w:rPr>
          <w:rFonts w:ascii="Garamond" w:hAnsi="Garamond"/>
        </w:rPr>
        <w:t>“</w:t>
      </w:r>
      <w:r w:rsidRPr="008D0803">
        <w:rPr>
          <w:rFonts w:ascii="Garamond" w:hAnsi="Garamond"/>
        </w:rPr>
        <w:t>American Diplomacy and the 1999 Kargil Summit at Blair House.</w:t>
      </w:r>
      <w:r w:rsidR="005A406C">
        <w:rPr>
          <w:rFonts w:ascii="Garamond" w:hAnsi="Garamond"/>
        </w:rPr>
        <w:t>”</w:t>
      </w:r>
      <w:r w:rsidRPr="008D0803">
        <w:rPr>
          <w:rFonts w:ascii="Garamond" w:hAnsi="Garamond"/>
        </w:rPr>
        <w:t xml:space="preserve"> In </w:t>
      </w:r>
      <w:r w:rsidRPr="008D0803">
        <w:rPr>
          <w:rFonts w:ascii="Garamond" w:hAnsi="Garamond"/>
          <w:i/>
          <w:iCs/>
        </w:rPr>
        <w:t>Asymmetric Warfare in South Asia: The Causes and Consequences of the Kargil Conflict</w:t>
      </w:r>
      <w:r w:rsidRPr="008D0803">
        <w:rPr>
          <w:rFonts w:ascii="Garamond" w:hAnsi="Garamond"/>
        </w:rPr>
        <w:t>, edited by Peter R. Lavoy, 130–143. New York: Cambridge University Press.</w:t>
      </w:r>
    </w:p>
    <w:p w14:paraId="4903A988" w14:textId="77777777" w:rsidR="00102EBE" w:rsidRPr="008D0803" w:rsidRDefault="00102EBE" w:rsidP="007A5EB9">
      <w:pPr>
        <w:pStyle w:val="Bibliography"/>
        <w:spacing w:line="480" w:lineRule="auto"/>
        <w:rPr>
          <w:rFonts w:ascii="Garamond" w:hAnsi="Garamond"/>
        </w:rPr>
      </w:pPr>
      <w:r w:rsidRPr="008D0803">
        <w:rPr>
          <w:rFonts w:ascii="Garamond" w:hAnsi="Garamond"/>
        </w:rPr>
        <w:t xml:space="preserve">Sagan, Scott D., and Kenneth N. Waltz. 2013. </w:t>
      </w:r>
      <w:r w:rsidRPr="008D0803">
        <w:rPr>
          <w:rFonts w:ascii="Garamond" w:hAnsi="Garamond"/>
          <w:i/>
          <w:iCs/>
        </w:rPr>
        <w:t>The Spread of Nuclear Weapons: An Enduring Debate</w:t>
      </w:r>
      <w:r w:rsidRPr="008D0803">
        <w:rPr>
          <w:rFonts w:ascii="Garamond" w:hAnsi="Garamond"/>
        </w:rPr>
        <w:t>. New York: W.W. Norton &amp; Company.</w:t>
      </w:r>
    </w:p>
    <w:p w14:paraId="2C8BACFC" w14:textId="7C2B6F07" w:rsidR="00102EBE" w:rsidRPr="008D0803" w:rsidRDefault="00102EBE" w:rsidP="007A5EB9">
      <w:pPr>
        <w:pStyle w:val="Bibliography"/>
        <w:spacing w:line="480" w:lineRule="auto"/>
        <w:rPr>
          <w:rFonts w:ascii="Garamond" w:hAnsi="Garamond"/>
        </w:rPr>
      </w:pPr>
      <w:r w:rsidRPr="008D0803">
        <w:rPr>
          <w:rFonts w:ascii="Garamond" w:hAnsi="Garamond"/>
        </w:rPr>
        <w:lastRenderedPageBreak/>
        <w:t>Sankaran, Jaganath</w:t>
      </w:r>
      <w:r w:rsidR="00FB7A59" w:rsidRPr="0063486D">
        <w:rPr>
          <w:rFonts w:ascii="Garamond" w:hAnsi="Garamond"/>
        </w:rPr>
        <w:t xml:space="preserve">. 2014. </w:t>
      </w:r>
      <w:r w:rsidR="005A406C">
        <w:rPr>
          <w:rFonts w:ascii="Garamond" w:hAnsi="Garamond"/>
        </w:rPr>
        <w:t>“</w:t>
      </w:r>
      <w:r w:rsidR="00FB7A59" w:rsidRPr="0063486D">
        <w:rPr>
          <w:rFonts w:ascii="Garamond" w:hAnsi="Garamond"/>
        </w:rPr>
        <w:t xml:space="preserve">Destroying Pakistan to </w:t>
      </w:r>
      <w:r w:rsidR="00FB7A59">
        <w:rPr>
          <w:rFonts w:ascii="Garamond" w:hAnsi="Garamond"/>
        </w:rPr>
        <w:t>D</w:t>
      </w:r>
      <w:r w:rsidR="00FB7A59" w:rsidRPr="0063486D">
        <w:rPr>
          <w:rFonts w:ascii="Garamond" w:hAnsi="Garamond"/>
        </w:rPr>
        <w:t xml:space="preserve">eter India? The </w:t>
      </w:r>
      <w:r w:rsidR="00FB7A59">
        <w:rPr>
          <w:rFonts w:ascii="Garamond" w:hAnsi="Garamond"/>
        </w:rPr>
        <w:t>P</w:t>
      </w:r>
      <w:r w:rsidR="00FB7A59" w:rsidRPr="0063486D">
        <w:rPr>
          <w:rFonts w:ascii="Garamond" w:hAnsi="Garamond"/>
        </w:rPr>
        <w:t xml:space="preserve">roblem with Pakistan’s </w:t>
      </w:r>
      <w:r w:rsidR="00FB7A59">
        <w:rPr>
          <w:rFonts w:ascii="Garamond" w:hAnsi="Garamond"/>
        </w:rPr>
        <w:t>B</w:t>
      </w:r>
      <w:r w:rsidR="00FB7A59" w:rsidRPr="0063486D">
        <w:rPr>
          <w:rFonts w:ascii="Garamond" w:hAnsi="Garamond"/>
        </w:rPr>
        <w:t xml:space="preserve">attlefield </w:t>
      </w:r>
      <w:r w:rsidR="00FB7A59">
        <w:rPr>
          <w:rFonts w:ascii="Garamond" w:hAnsi="Garamond"/>
        </w:rPr>
        <w:t>N</w:t>
      </w:r>
      <w:r w:rsidRPr="008D0803">
        <w:rPr>
          <w:rFonts w:ascii="Garamond" w:hAnsi="Garamond"/>
        </w:rPr>
        <w:t>ukes.</w:t>
      </w:r>
      <w:r w:rsidR="005A406C">
        <w:rPr>
          <w:rFonts w:ascii="Garamond" w:hAnsi="Garamond"/>
        </w:rPr>
        <w:t>”</w:t>
      </w:r>
      <w:r w:rsidRPr="008D0803">
        <w:rPr>
          <w:rFonts w:ascii="Garamond" w:hAnsi="Garamond"/>
        </w:rPr>
        <w:t xml:space="preserve"> </w:t>
      </w:r>
      <w:r w:rsidRPr="008D0803">
        <w:rPr>
          <w:rFonts w:ascii="Garamond" w:hAnsi="Garamond"/>
          <w:i/>
          <w:iCs/>
        </w:rPr>
        <w:t>Bulletin of the Atomic Scientists</w:t>
      </w:r>
      <w:r w:rsidRPr="008D0803">
        <w:rPr>
          <w:rFonts w:ascii="Garamond" w:hAnsi="Garamond"/>
        </w:rPr>
        <w:t xml:space="preserve"> 70</w:t>
      </w:r>
      <w:r w:rsidR="00FB7A59" w:rsidRPr="0063486D">
        <w:rPr>
          <w:rFonts w:ascii="Garamond" w:hAnsi="Garamond"/>
        </w:rPr>
        <w:t xml:space="preserve"> (4)</w:t>
      </w:r>
      <w:r w:rsidR="00FB7A59">
        <w:rPr>
          <w:rFonts w:ascii="Garamond" w:hAnsi="Garamond"/>
        </w:rPr>
        <w:t>:</w:t>
      </w:r>
      <w:r w:rsidRPr="008D0803">
        <w:rPr>
          <w:rFonts w:ascii="Garamond" w:hAnsi="Garamond"/>
        </w:rPr>
        <w:t>74–84.</w:t>
      </w:r>
    </w:p>
    <w:p w14:paraId="05780C94" w14:textId="3C689CF2" w:rsidR="00102EBE" w:rsidRPr="008D0803" w:rsidRDefault="00102EBE" w:rsidP="007A5EB9">
      <w:pPr>
        <w:pStyle w:val="Bibliography"/>
        <w:spacing w:line="480" w:lineRule="auto"/>
        <w:rPr>
          <w:rFonts w:ascii="Garamond" w:hAnsi="Garamond"/>
        </w:rPr>
      </w:pPr>
      <w:r w:rsidRPr="008D0803">
        <w:rPr>
          <w:rFonts w:ascii="Garamond" w:hAnsi="Garamond"/>
        </w:rPr>
        <w:t xml:space="preserve">Schultz, Kenneth A. 2001. </w:t>
      </w:r>
      <w:r w:rsidR="005A406C">
        <w:rPr>
          <w:rFonts w:ascii="Garamond" w:hAnsi="Garamond"/>
        </w:rPr>
        <w:t>“</w:t>
      </w:r>
      <w:r w:rsidRPr="008D0803">
        <w:rPr>
          <w:rFonts w:ascii="Garamond" w:hAnsi="Garamond"/>
        </w:rPr>
        <w:t>Looking for Audience Costs.</w:t>
      </w:r>
      <w:r w:rsidR="005A406C">
        <w:rPr>
          <w:rFonts w:ascii="Garamond" w:hAnsi="Garamond"/>
        </w:rPr>
        <w:t>”</w:t>
      </w:r>
      <w:r w:rsidRPr="008D0803">
        <w:rPr>
          <w:rFonts w:ascii="Garamond" w:hAnsi="Garamond"/>
        </w:rPr>
        <w:t xml:space="preserve"> </w:t>
      </w:r>
      <w:r w:rsidRPr="008D0803">
        <w:rPr>
          <w:rFonts w:ascii="Garamond" w:hAnsi="Garamond"/>
          <w:i/>
          <w:iCs/>
        </w:rPr>
        <w:t>The Journal of Conflict Resolution</w:t>
      </w:r>
      <w:r w:rsidR="007B64F8" w:rsidRPr="0063486D">
        <w:rPr>
          <w:rFonts w:ascii="Garamond" w:hAnsi="Garamond"/>
        </w:rPr>
        <w:t xml:space="preserve"> 45 (1):</w:t>
      </w:r>
      <w:r w:rsidRPr="008D0803">
        <w:rPr>
          <w:rFonts w:ascii="Garamond" w:hAnsi="Garamond"/>
        </w:rPr>
        <w:t>32–60.</w:t>
      </w:r>
    </w:p>
    <w:p w14:paraId="698732C0" w14:textId="77777777" w:rsidR="00102EBE" w:rsidRPr="008D0803" w:rsidRDefault="00102EBE" w:rsidP="007A5EB9">
      <w:pPr>
        <w:pStyle w:val="Bibliography"/>
        <w:spacing w:line="480" w:lineRule="auto"/>
        <w:rPr>
          <w:rFonts w:ascii="Garamond" w:hAnsi="Garamond"/>
        </w:rPr>
      </w:pPr>
      <w:r w:rsidRPr="008D0803">
        <w:rPr>
          <w:rFonts w:ascii="Garamond" w:hAnsi="Garamond"/>
        </w:rPr>
        <w:t xml:space="preserve">Scott-Clark, Cathy, and Adrian Levy. 2013. </w:t>
      </w:r>
      <w:r w:rsidRPr="008D0803">
        <w:rPr>
          <w:rFonts w:ascii="Garamond" w:hAnsi="Garamond"/>
          <w:i/>
          <w:iCs/>
        </w:rPr>
        <w:t>The Siege: Three Days of Terror Inside the Taj</w:t>
      </w:r>
      <w:r w:rsidRPr="008D0803">
        <w:rPr>
          <w:rFonts w:ascii="Garamond" w:hAnsi="Garamond"/>
        </w:rPr>
        <w:t>. New York: Viking.</w:t>
      </w:r>
    </w:p>
    <w:p w14:paraId="02B2D74E" w14:textId="6E553C67" w:rsidR="00102EBE" w:rsidRPr="008D0803" w:rsidRDefault="00102EBE" w:rsidP="007A5EB9">
      <w:pPr>
        <w:pStyle w:val="Bibliography"/>
        <w:spacing w:line="480" w:lineRule="auto"/>
        <w:rPr>
          <w:rFonts w:ascii="Garamond" w:hAnsi="Garamond"/>
        </w:rPr>
      </w:pPr>
      <w:r w:rsidRPr="008D0803">
        <w:rPr>
          <w:rFonts w:ascii="Garamond" w:hAnsi="Garamond"/>
        </w:rPr>
        <w:t xml:space="preserve">Shah, Aqil. 2014. </w:t>
      </w:r>
      <w:r w:rsidRPr="008D0803">
        <w:rPr>
          <w:rFonts w:ascii="Garamond" w:hAnsi="Garamond"/>
          <w:i/>
          <w:iCs/>
        </w:rPr>
        <w:t>The Army and Democracy</w:t>
      </w:r>
      <w:r w:rsidR="000A6B10" w:rsidRPr="000A6B10">
        <w:rPr>
          <w:rFonts w:ascii="Garamond" w:hAnsi="Garamond"/>
          <w:i/>
          <w:iCs/>
        </w:rPr>
        <w:t>: Military Politics in Pakistan</w:t>
      </w:r>
      <w:r w:rsidRPr="008D0803">
        <w:rPr>
          <w:rFonts w:ascii="Garamond" w:hAnsi="Garamond"/>
        </w:rPr>
        <w:t xml:space="preserve">. </w:t>
      </w:r>
      <w:r w:rsidR="00E17999">
        <w:rPr>
          <w:rFonts w:ascii="Garamond" w:hAnsi="Garamond"/>
        </w:rPr>
        <w:t xml:space="preserve">Cambridge, MA: </w:t>
      </w:r>
      <w:r w:rsidRPr="008D0803">
        <w:rPr>
          <w:rFonts w:ascii="Garamond" w:hAnsi="Garamond"/>
        </w:rPr>
        <w:t>Harvard University Press.</w:t>
      </w:r>
    </w:p>
    <w:p w14:paraId="282B8FA9" w14:textId="5327B56C" w:rsidR="00102EBE" w:rsidRPr="008D0803" w:rsidRDefault="00102EBE" w:rsidP="007A5EB9">
      <w:pPr>
        <w:pStyle w:val="Bibliography"/>
        <w:spacing w:line="480" w:lineRule="auto"/>
        <w:rPr>
          <w:rFonts w:ascii="Garamond" w:hAnsi="Garamond"/>
        </w:rPr>
      </w:pPr>
      <w:r w:rsidRPr="008D0803">
        <w:rPr>
          <w:rFonts w:ascii="Garamond" w:hAnsi="Garamond"/>
        </w:rPr>
        <w:t xml:space="preserve">Snyder, Jack, and Karen Ballentine. 1996. </w:t>
      </w:r>
      <w:r w:rsidR="005A406C">
        <w:rPr>
          <w:rFonts w:ascii="Garamond" w:hAnsi="Garamond"/>
        </w:rPr>
        <w:t>“</w:t>
      </w:r>
      <w:r w:rsidRPr="008D0803">
        <w:rPr>
          <w:rFonts w:ascii="Garamond" w:hAnsi="Garamond"/>
        </w:rPr>
        <w:t>Nationalism and the Marketplace of Ideas.</w:t>
      </w:r>
      <w:r w:rsidR="005A406C">
        <w:rPr>
          <w:rFonts w:ascii="Garamond" w:hAnsi="Garamond"/>
        </w:rPr>
        <w:t>”</w:t>
      </w:r>
      <w:r w:rsidRPr="008D0803">
        <w:rPr>
          <w:rFonts w:ascii="Garamond" w:hAnsi="Garamond"/>
        </w:rPr>
        <w:t xml:space="preserve"> </w:t>
      </w:r>
      <w:r w:rsidRPr="008D0803">
        <w:rPr>
          <w:rFonts w:ascii="Garamond" w:hAnsi="Garamond"/>
          <w:i/>
          <w:iCs/>
        </w:rPr>
        <w:t>International Security</w:t>
      </w:r>
      <w:r w:rsidRPr="008D0803">
        <w:rPr>
          <w:rFonts w:ascii="Garamond" w:hAnsi="Garamond"/>
        </w:rPr>
        <w:t xml:space="preserve"> 21 (2)</w:t>
      </w:r>
      <w:r w:rsidR="00497E23">
        <w:rPr>
          <w:rFonts w:ascii="Garamond" w:hAnsi="Garamond"/>
        </w:rPr>
        <w:t>:</w:t>
      </w:r>
      <w:r w:rsidRPr="008D0803">
        <w:rPr>
          <w:rFonts w:ascii="Garamond" w:hAnsi="Garamond"/>
        </w:rPr>
        <w:t>5–40.</w:t>
      </w:r>
    </w:p>
    <w:p w14:paraId="2A3310CD" w14:textId="6812489A" w:rsidR="00102EBE" w:rsidRPr="008D0803" w:rsidRDefault="00102EBE" w:rsidP="007A5EB9">
      <w:pPr>
        <w:pStyle w:val="Bibliography"/>
        <w:spacing w:line="480" w:lineRule="auto"/>
        <w:rPr>
          <w:rFonts w:ascii="Garamond" w:hAnsi="Garamond"/>
        </w:rPr>
      </w:pPr>
      <w:r w:rsidRPr="008D0803">
        <w:rPr>
          <w:rFonts w:ascii="Garamond" w:hAnsi="Garamond"/>
        </w:rPr>
        <w:t xml:space="preserve">Snyder, Jack, and Erica D. Borghard. 2011. </w:t>
      </w:r>
      <w:r w:rsidR="005A406C">
        <w:rPr>
          <w:rFonts w:ascii="Garamond" w:hAnsi="Garamond"/>
        </w:rPr>
        <w:t>“</w:t>
      </w:r>
      <w:r w:rsidRPr="008D0803">
        <w:rPr>
          <w:rFonts w:ascii="Garamond" w:hAnsi="Garamond"/>
        </w:rPr>
        <w:t>The Cost of Empty Threats: A Penny, Not a Pound.</w:t>
      </w:r>
      <w:r w:rsidR="005A406C">
        <w:rPr>
          <w:rFonts w:ascii="Garamond" w:hAnsi="Garamond"/>
        </w:rPr>
        <w:t>”</w:t>
      </w:r>
      <w:r w:rsidRPr="008D0803">
        <w:rPr>
          <w:rFonts w:ascii="Garamond" w:hAnsi="Garamond"/>
        </w:rPr>
        <w:t xml:space="preserve"> </w:t>
      </w:r>
      <w:r w:rsidRPr="008D0803">
        <w:rPr>
          <w:rFonts w:ascii="Garamond" w:hAnsi="Garamond"/>
          <w:i/>
          <w:iCs/>
        </w:rPr>
        <w:t>American Political Science Review</w:t>
      </w:r>
      <w:r w:rsidR="00497E23" w:rsidRPr="0063486D">
        <w:rPr>
          <w:rFonts w:ascii="Garamond" w:hAnsi="Garamond"/>
        </w:rPr>
        <w:t xml:space="preserve"> 105 (3):</w:t>
      </w:r>
      <w:r w:rsidRPr="008D0803">
        <w:rPr>
          <w:rFonts w:ascii="Garamond" w:hAnsi="Garamond"/>
        </w:rPr>
        <w:t>437–456.</w:t>
      </w:r>
    </w:p>
    <w:p w14:paraId="04184A1D" w14:textId="34574F71" w:rsidR="00102EBE" w:rsidRPr="008D0803" w:rsidRDefault="00102EBE" w:rsidP="007A5EB9">
      <w:pPr>
        <w:pStyle w:val="Bibliography"/>
        <w:spacing w:line="480" w:lineRule="auto"/>
        <w:rPr>
          <w:rFonts w:ascii="Garamond" w:hAnsi="Garamond"/>
        </w:rPr>
      </w:pPr>
      <w:r w:rsidRPr="008D0803">
        <w:rPr>
          <w:rFonts w:ascii="Garamond" w:hAnsi="Garamond"/>
        </w:rPr>
        <w:t xml:space="preserve">Tajfel, Henri, and John C. Turner. 1986. </w:t>
      </w:r>
      <w:r w:rsidR="005A406C">
        <w:rPr>
          <w:rFonts w:ascii="Garamond" w:hAnsi="Garamond"/>
        </w:rPr>
        <w:t>“</w:t>
      </w:r>
      <w:r w:rsidRPr="008D0803">
        <w:rPr>
          <w:rFonts w:ascii="Garamond" w:hAnsi="Garamond"/>
        </w:rPr>
        <w:t>The Social Identity Theory of Intergroup Behavior.</w:t>
      </w:r>
      <w:r w:rsidR="005A406C">
        <w:rPr>
          <w:rFonts w:ascii="Garamond" w:hAnsi="Garamond"/>
        </w:rPr>
        <w:t>”</w:t>
      </w:r>
      <w:r w:rsidRPr="008D0803">
        <w:rPr>
          <w:rFonts w:ascii="Garamond" w:hAnsi="Garamond"/>
        </w:rPr>
        <w:t xml:space="preserve"> In </w:t>
      </w:r>
      <w:r w:rsidRPr="008D0803">
        <w:rPr>
          <w:rFonts w:ascii="Garamond" w:hAnsi="Garamond"/>
          <w:i/>
          <w:iCs/>
        </w:rPr>
        <w:t>Psychology of Intergroup Relations</w:t>
      </w:r>
      <w:r w:rsidRPr="008D0803">
        <w:rPr>
          <w:rFonts w:ascii="Garamond" w:hAnsi="Garamond"/>
        </w:rPr>
        <w:t>, edited by Stephen Worchel and William G. Austin, 7–24. Chicago, IL: Nelson-Hall.</w:t>
      </w:r>
    </w:p>
    <w:p w14:paraId="32DFF282" w14:textId="0A9A9A49" w:rsidR="00102EBE" w:rsidRPr="008D0803" w:rsidRDefault="00102EBE" w:rsidP="007A5EB9">
      <w:pPr>
        <w:pStyle w:val="Bibliography"/>
        <w:spacing w:line="480" w:lineRule="auto"/>
        <w:rPr>
          <w:rFonts w:ascii="Garamond" w:hAnsi="Garamond"/>
        </w:rPr>
      </w:pPr>
      <w:r w:rsidRPr="008D0803">
        <w:rPr>
          <w:rFonts w:ascii="Garamond" w:hAnsi="Garamond"/>
        </w:rPr>
        <w:t xml:space="preserve">Talbot, Ian. 2002. </w:t>
      </w:r>
      <w:r w:rsidR="005A406C">
        <w:rPr>
          <w:rFonts w:ascii="Garamond" w:hAnsi="Garamond"/>
        </w:rPr>
        <w:t>“</w:t>
      </w:r>
      <w:r w:rsidRPr="008D0803">
        <w:rPr>
          <w:rFonts w:ascii="Garamond" w:hAnsi="Garamond"/>
        </w:rPr>
        <w:t>The Punjabization of Pakistan: Myth or Reality?</w:t>
      </w:r>
      <w:r w:rsidR="005A406C">
        <w:rPr>
          <w:rFonts w:ascii="Garamond" w:hAnsi="Garamond"/>
        </w:rPr>
        <w:t>”</w:t>
      </w:r>
      <w:r w:rsidRPr="008D0803">
        <w:rPr>
          <w:rFonts w:ascii="Garamond" w:hAnsi="Garamond"/>
        </w:rPr>
        <w:t xml:space="preserve"> In </w:t>
      </w:r>
      <w:r w:rsidRPr="008D0803">
        <w:rPr>
          <w:rFonts w:ascii="Garamond" w:hAnsi="Garamond"/>
          <w:i/>
          <w:iCs/>
        </w:rPr>
        <w:t>Pakistan: Nationalism Without A Nation?</w:t>
      </w:r>
      <w:r w:rsidRPr="008D0803">
        <w:rPr>
          <w:rFonts w:ascii="Garamond" w:hAnsi="Garamond"/>
        </w:rPr>
        <w:t>, edited by Christophe Jaffrelot, 51–62. New Delhi: Zed Books.</w:t>
      </w:r>
    </w:p>
    <w:p w14:paraId="161C75AC" w14:textId="77777777" w:rsidR="00102EBE" w:rsidRPr="008D0803" w:rsidRDefault="00102EBE" w:rsidP="007A5EB9">
      <w:pPr>
        <w:pStyle w:val="Bibliography"/>
        <w:spacing w:line="480" w:lineRule="auto"/>
        <w:rPr>
          <w:rFonts w:ascii="Garamond" w:hAnsi="Garamond"/>
        </w:rPr>
      </w:pPr>
      <w:r w:rsidRPr="008D0803">
        <w:rPr>
          <w:rFonts w:ascii="Garamond" w:hAnsi="Garamond"/>
        </w:rPr>
        <w:t xml:space="preserve">Tannenwald, Nina. 2007. </w:t>
      </w:r>
      <w:r w:rsidRPr="008D0803">
        <w:rPr>
          <w:rFonts w:ascii="Garamond" w:hAnsi="Garamond"/>
          <w:i/>
          <w:iCs/>
        </w:rPr>
        <w:t>The Nuclear Taboo: The United States and the Non-Use of Nuclear Weapons Since 1945</w:t>
      </w:r>
      <w:r w:rsidRPr="008D0803">
        <w:rPr>
          <w:rFonts w:ascii="Garamond" w:hAnsi="Garamond"/>
        </w:rPr>
        <w:t>. New York: Cambridge University Press.</w:t>
      </w:r>
    </w:p>
    <w:p w14:paraId="5CDB05D3" w14:textId="2DE1D139" w:rsidR="00102EBE" w:rsidRPr="008D0803" w:rsidRDefault="00102EBE" w:rsidP="007A5EB9">
      <w:pPr>
        <w:pStyle w:val="Bibliography"/>
        <w:spacing w:line="480" w:lineRule="auto"/>
        <w:rPr>
          <w:rFonts w:ascii="Garamond" w:hAnsi="Garamond"/>
        </w:rPr>
      </w:pPr>
      <w:r w:rsidRPr="008D0803">
        <w:rPr>
          <w:rFonts w:ascii="Garamond" w:hAnsi="Garamond"/>
        </w:rPr>
        <w:t xml:space="preserve">Tomz, Michael. 2007. </w:t>
      </w:r>
      <w:r w:rsidR="00042DDA">
        <w:rPr>
          <w:rFonts w:ascii="Garamond" w:hAnsi="Garamond"/>
        </w:rPr>
        <w:t>“</w:t>
      </w:r>
      <w:r w:rsidRPr="008D0803">
        <w:rPr>
          <w:rFonts w:ascii="Garamond" w:hAnsi="Garamond"/>
        </w:rPr>
        <w:t>Domestic Audience Costs in International Relations: An Experimental Approach.</w:t>
      </w:r>
      <w:r w:rsidR="00042DDA">
        <w:rPr>
          <w:rFonts w:ascii="Garamond" w:hAnsi="Garamond"/>
        </w:rPr>
        <w:t>”</w:t>
      </w:r>
      <w:r w:rsidRPr="008D0803">
        <w:rPr>
          <w:rFonts w:ascii="Garamond" w:hAnsi="Garamond"/>
        </w:rPr>
        <w:t xml:space="preserve"> </w:t>
      </w:r>
      <w:r w:rsidRPr="008D0803">
        <w:rPr>
          <w:rFonts w:ascii="Garamond" w:hAnsi="Garamond"/>
          <w:i/>
          <w:iCs/>
        </w:rPr>
        <w:t>International Organization</w:t>
      </w:r>
      <w:r w:rsidR="001238C5" w:rsidRPr="0063486D">
        <w:rPr>
          <w:rFonts w:ascii="Garamond" w:hAnsi="Garamond"/>
        </w:rPr>
        <w:t xml:space="preserve"> 61 (4):</w:t>
      </w:r>
      <w:r w:rsidRPr="008D0803">
        <w:rPr>
          <w:rFonts w:ascii="Garamond" w:hAnsi="Garamond"/>
        </w:rPr>
        <w:t>821–840.</w:t>
      </w:r>
    </w:p>
    <w:p w14:paraId="597B4E49" w14:textId="1332A18E" w:rsidR="00102EBE" w:rsidRPr="008D0803" w:rsidRDefault="00102EBE" w:rsidP="007A5EB9">
      <w:pPr>
        <w:pStyle w:val="Bibliography"/>
        <w:spacing w:line="480" w:lineRule="auto"/>
        <w:rPr>
          <w:rFonts w:ascii="Garamond" w:hAnsi="Garamond"/>
        </w:rPr>
      </w:pPr>
      <w:r w:rsidRPr="008D0803">
        <w:rPr>
          <w:rFonts w:ascii="Garamond" w:hAnsi="Garamond"/>
        </w:rPr>
        <w:t xml:space="preserve">Trachtenberg, Marc. 2012. </w:t>
      </w:r>
      <w:r w:rsidR="00042DDA">
        <w:rPr>
          <w:rFonts w:ascii="Garamond" w:hAnsi="Garamond"/>
        </w:rPr>
        <w:t>“</w:t>
      </w:r>
      <w:r w:rsidRPr="008D0803">
        <w:rPr>
          <w:rFonts w:ascii="Garamond" w:hAnsi="Garamond"/>
        </w:rPr>
        <w:t>Audience Costs: An Historical Analysis.</w:t>
      </w:r>
      <w:r w:rsidR="00042DDA">
        <w:rPr>
          <w:rFonts w:ascii="Garamond" w:hAnsi="Garamond"/>
        </w:rPr>
        <w:t>”</w:t>
      </w:r>
      <w:r w:rsidRPr="008D0803">
        <w:rPr>
          <w:rFonts w:ascii="Garamond" w:hAnsi="Garamond"/>
        </w:rPr>
        <w:t xml:space="preserve"> </w:t>
      </w:r>
      <w:r w:rsidRPr="008D0803">
        <w:rPr>
          <w:rFonts w:ascii="Garamond" w:hAnsi="Garamond"/>
          <w:i/>
          <w:iCs/>
        </w:rPr>
        <w:t>Security Studies</w:t>
      </w:r>
      <w:r w:rsidRPr="008D0803">
        <w:rPr>
          <w:rFonts w:ascii="Garamond" w:hAnsi="Garamond"/>
        </w:rPr>
        <w:t xml:space="preserve"> 21 (1):3–42.</w:t>
      </w:r>
    </w:p>
    <w:p w14:paraId="6A77302B" w14:textId="2F119B23" w:rsidR="00102EBE" w:rsidRPr="008D0803" w:rsidRDefault="00102EBE" w:rsidP="007A5EB9">
      <w:pPr>
        <w:pStyle w:val="Bibliography"/>
        <w:spacing w:line="480" w:lineRule="auto"/>
        <w:rPr>
          <w:rFonts w:ascii="Garamond" w:hAnsi="Garamond"/>
        </w:rPr>
      </w:pPr>
      <w:r w:rsidRPr="008D0803">
        <w:rPr>
          <w:rFonts w:ascii="Garamond" w:hAnsi="Garamond"/>
        </w:rPr>
        <w:t xml:space="preserve">Ulfelder, Jay, and Michael Lustik. 2007. </w:t>
      </w:r>
      <w:r w:rsidR="00042DDA">
        <w:rPr>
          <w:rFonts w:ascii="Garamond" w:hAnsi="Garamond"/>
        </w:rPr>
        <w:t>“</w:t>
      </w:r>
      <w:r w:rsidRPr="008D0803">
        <w:rPr>
          <w:rFonts w:ascii="Garamond" w:hAnsi="Garamond"/>
        </w:rPr>
        <w:t>Modelling Transitions To and From Democracy.</w:t>
      </w:r>
      <w:r w:rsidR="00042DDA">
        <w:rPr>
          <w:rFonts w:ascii="Garamond" w:hAnsi="Garamond"/>
        </w:rPr>
        <w:t>”</w:t>
      </w:r>
      <w:r w:rsidRPr="008D0803">
        <w:rPr>
          <w:rFonts w:ascii="Garamond" w:hAnsi="Garamond"/>
        </w:rPr>
        <w:t xml:space="preserve"> </w:t>
      </w:r>
      <w:r w:rsidRPr="008D0803">
        <w:rPr>
          <w:rFonts w:ascii="Garamond" w:hAnsi="Garamond"/>
          <w:i/>
          <w:iCs/>
        </w:rPr>
        <w:t>Democratization</w:t>
      </w:r>
      <w:r w:rsidR="00576F76" w:rsidRPr="0063486D">
        <w:rPr>
          <w:rFonts w:ascii="Garamond" w:hAnsi="Garamond"/>
        </w:rPr>
        <w:t xml:space="preserve"> 14 (3):</w:t>
      </w:r>
      <w:r w:rsidRPr="008D0803">
        <w:rPr>
          <w:rFonts w:ascii="Garamond" w:hAnsi="Garamond"/>
        </w:rPr>
        <w:t>351–387.</w:t>
      </w:r>
    </w:p>
    <w:p w14:paraId="797FBFCE" w14:textId="624D768E" w:rsidR="00102EBE" w:rsidRPr="008D0803" w:rsidRDefault="00102EBE" w:rsidP="007A5EB9">
      <w:pPr>
        <w:pStyle w:val="Bibliography"/>
        <w:spacing w:line="480" w:lineRule="auto"/>
        <w:rPr>
          <w:rFonts w:ascii="Garamond" w:hAnsi="Garamond"/>
        </w:rPr>
      </w:pPr>
      <w:r w:rsidRPr="008D0803">
        <w:rPr>
          <w:rFonts w:ascii="Garamond" w:hAnsi="Garamond"/>
        </w:rPr>
        <w:lastRenderedPageBreak/>
        <w:t xml:space="preserve">Valenzuela, J. Samuel. 1992. </w:t>
      </w:r>
      <w:r w:rsidR="00042DDA">
        <w:rPr>
          <w:rFonts w:ascii="Garamond" w:hAnsi="Garamond"/>
        </w:rPr>
        <w:t>“</w:t>
      </w:r>
      <w:r w:rsidRPr="008D0803">
        <w:rPr>
          <w:rFonts w:ascii="Garamond" w:hAnsi="Garamond"/>
        </w:rPr>
        <w:t>Democratic Consolidation in Post-Transitional Settings: Notion, Process, and Facilitating Conditions.</w:t>
      </w:r>
      <w:r w:rsidR="00042DDA">
        <w:rPr>
          <w:rFonts w:ascii="Garamond" w:hAnsi="Garamond"/>
        </w:rPr>
        <w:t>”</w:t>
      </w:r>
      <w:r w:rsidRPr="008D0803">
        <w:rPr>
          <w:rFonts w:ascii="Garamond" w:hAnsi="Garamond"/>
        </w:rPr>
        <w:t xml:space="preserve"> In </w:t>
      </w:r>
      <w:r w:rsidRPr="008D0803">
        <w:rPr>
          <w:rFonts w:ascii="Garamond" w:hAnsi="Garamond"/>
          <w:i/>
          <w:iCs/>
        </w:rPr>
        <w:t>Issues in Democratic Consolidation: The New South American Democracies in Comparative Perspective</w:t>
      </w:r>
      <w:r w:rsidRPr="008D0803">
        <w:rPr>
          <w:rFonts w:ascii="Garamond" w:hAnsi="Garamond"/>
        </w:rPr>
        <w:t>, edited by Scott Mainwaring, Guillermo O’Donnell, and J. Samuel Valenzuela. Notre Dame, IN: University of Notre Dame Press.</w:t>
      </w:r>
    </w:p>
    <w:p w14:paraId="69DCDB76" w14:textId="5A1BC10D" w:rsidR="0063670E" w:rsidRDefault="00102EBE" w:rsidP="007A5EB9">
      <w:pPr>
        <w:pStyle w:val="Bibliography"/>
        <w:spacing w:line="480" w:lineRule="auto"/>
        <w:rPr>
          <w:rFonts w:ascii="Garamond" w:hAnsi="Garamond"/>
        </w:rPr>
      </w:pPr>
      <w:r w:rsidRPr="008D0803">
        <w:rPr>
          <w:rFonts w:ascii="Garamond" w:hAnsi="Garamond"/>
        </w:rPr>
        <w:t xml:space="preserve">Van Evera, Stephen. 1994. </w:t>
      </w:r>
      <w:r w:rsidR="00042DDA">
        <w:rPr>
          <w:rFonts w:ascii="Garamond" w:hAnsi="Garamond"/>
        </w:rPr>
        <w:t>“</w:t>
      </w:r>
      <w:r w:rsidRPr="008D0803">
        <w:rPr>
          <w:rFonts w:ascii="Garamond" w:hAnsi="Garamond"/>
        </w:rPr>
        <w:t>Hypotheses on Nationalism and War.</w:t>
      </w:r>
      <w:r w:rsidR="00042DDA">
        <w:rPr>
          <w:rFonts w:ascii="Garamond" w:hAnsi="Garamond"/>
        </w:rPr>
        <w:t>”</w:t>
      </w:r>
      <w:r w:rsidRPr="008D0803">
        <w:rPr>
          <w:rFonts w:ascii="Garamond" w:hAnsi="Garamond"/>
        </w:rPr>
        <w:t xml:space="preserve"> </w:t>
      </w:r>
      <w:r w:rsidRPr="008D0803">
        <w:rPr>
          <w:rFonts w:ascii="Garamond" w:hAnsi="Garamond"/>
          <w:i/>
          <w:iCs/>
        </w:rPr>
        <w:t>International Security</w:t>
      </w:r>
      <w:r w:rsidR="002B7D15" w:rsidRPr="0063486D">
        <w:rPr>
          <w:rFonts w:ascii="Garamond" w:hAnsi="Garamond"/>
        </w:rPr>
        <w:t xml:space="preserve"> 18 (4):</w:t>
      </w:r>
      <w:r w:rsidRPr="008D0803">
        <w:rPr>
          <w:rFonts w:ascii="Garamond" w:hAnsi="Garamond"/>
        </w:rPr>
        <w:t>5–39</w:t>
      </w:r>
      <w:r w:rsidR="0063670E">
        <w:rPr>
          <w:rFonts w:ascii="Garamond" w:hAnsi="Garamond"/>
        </w:rPr>
        <w:t>.</w:t>
      </w:r>
    </w:p>
    <w:p w14:paraId="138CACA9" w14:textId="3FDCDDC3" w:rsidR="0063670E" w:rsidRPr="0063670E" w:rsidRDefault="0063670E" w:rsidP="007A5EB9">
      <w:pPr>
        <w:spacing w:line="480" w:lineRule="auto"/>
        <w:rPr>
          <w:rFonts w:ascii="Garamond" w:hAnsi="Garamond"/>
        </w:rPr>
      </w:pPr>
      <w:r w:rsidRPr="00EF675E">
        <w:rPr>
          <w:rFonts w:ascii="Garamond" w:hAnsi="Garamond"/>
        </w:rPr>
        <w:t xml:space="preserve">Van Evera, </w:t>
      </w:r>
      <w:r w:rsidR="003B56C4" w:rsidRPr="00EF675E">
        <w:rPr>
          <w:rFonts w:ascii="Garamond" w:hAnsi="Garamond"/>
        </w:rPr>
        <w:t xml:space="preserve">Stephen. 1984. </w:t>
      </w:r>
      <w:r w:rsidR="00042DDA">
        <w:rPr>
          <w:rFonts w:ascii="Garamond" w:hAnsi="Garamond"/>
        </w:rPr>
        <w:t>“</w:t>
      </w:r>
      <w:r w:rsidR="00EF675E" w:rsidRPr="00EF675E">
        <w:rPr>
          <w:rFonts w:ascii="Garamond" w:hAnsi="Garamond"/>
        </w:rPr>
        <w:t>Causes of War.</w:t>
      </w:r>
      <w:r w:rsidR="00042DDA">
        <w:rPr>
          <w:rFonts w:ascii="Garamond" w:hAnsi="Garamond"/>
        </w:rPr>
        <w:t>”</w:t>
      </w:r>
      <w:r w:rsidR="00EF675E" w:rsidRPr="00EF675E">
        <w:rPr>
          <w:rFonts w:ascii="Garamond" w:hAnsi="Garamond"/>
        </w:rPr>
        <w:t xml:space="preserve"> PhD diss., University of California, Berkeley.</w:t>
      </w:r>
    </w:p>
    <w:p w14:paraId="2F82D82F" w14:textId="7269D737" w:rsidR="00102EBE" w:rsidRPr="008D0803" w:rsidRDefault="00102EBE" w:rsidP="007A5EB9">
      <w:pPr>
        <w:pStyle w:val="Bibliography"/>
        <w:spacing w:line="480" w:lineRule="auto"/>
        <w:rPr>
          <w:rFonts w:ascii="Garamond" w:hAnsi="Garamond"/>
        </w:rPr>
      </w:pPr>
      <w:r w:rsidRPr="008D0803">
        <w:rPr>
          <w:rFonts w:ascii="Garamond" w:hAnsi="Garamond"/>
        </w:rPr>
        <w:t xml:space="preserve">Waltz, Kenneth N. 1981. </w:t>
      </w:r>
      <w:r w:rsidR="00042DDA">
        <w:rPr>
          <w:rFonts w:ascii="Garamond" w:hAnsi="Garamond"/>
        </w:rPr>
        <w:t>“</w:t>
      </w:r>
      <w:r w:rsidRPr="008D0803">
        <w:rPr>
          <w:rFonts w:ascii="Garamond" w:hAnsi="Garamond"/>
        </w:rPr>
        <w:t>The Spread of Nuclear Weapons: More May Be Better: Introduction.</w:t>
      </w:r>
      <w:r w:rsidR="00042DDA">
        <w:rPr>
          <w:rFonts w:ascii="Garamond" w:hAnsi="Garamond"/>
        </w:rPr>
        <w:t>”</w:t>
      </w:r>
      <w:r w:rsidRPr="008D0803">
        <w:rPr>
          <w:rFonts w:ascii="Garamond" w:hAnsi="Garamond"/>
        </w:rPr>
        <w:t xml:space="preserve"> </w:t>
      </w:r>
      <w:r w:rsidRPr="008D0803">
        <w:rPr>
          <w:rFonts w:ascii="Garamond" w:hAnsi="Garamond"/>
          <w:i/>
          <w:iCs/>
        </w:rPr>
        <w:t>The Adelphi Papers</w:t>
      </w:r>
      <w:r w:rsidR="00EC34EB" w:rsidRPr="0063486D">
        <w:rPr>
          <w:rFonts w:ascii="Garamond" w:hAnsi="Garamond"/>
        </w:rPr>
        <w:t xml:space="preserve"> 21 (171):</w:t>
      </w:r>
      <w:r w:rsidRPr="008D0803">
        <w:rPr>
          <w:rFonts w:ascii="Garamond" w:hAnsi="Garamond"/>
        </w:rPr>
        <w:t>1–1.</w:t>
      </w:r>
    </w:p>
    <w:p w14:paraId="49AC40AA" w14:textId="520B4F36" w:rsidR="00102EBE" w:rsidRPr="008D0803" w:rsidRDefault="00102EBE" w:rsidP="007A5EB9">
      <w:pPr>
        <w:pStyle w:val="Bibliography"/>
        <w:spacing w:line="480" w:lineRule="auto"/>
        <w:rPr>
          <w:rFonts w:ascii="Garamond" w:hAnsi="Garamond"/>
        </w:rPr>
      </w:pPr>
      <w:r w:rsidRPr="008D0803">
        <w:rPr>
          <w:rFonts w:ascii="Garamond" w:hAnsi="Garamond"/>
        </w:rPr>
        <w:t xml:space="preserve">Wilkin, Sam, Brandon Haller, and Helmut Norpoth. 1997. </w:t>
      </w:r>
      <w:r w:rsidR="00042DDA">
        <w:rPr>
          <w:rFonts w:ascii="Garamond" w:hAnsi="Garamond"/>
        </w:rPr>
        <w:t>“</w:t>
      </w:r>
      <w:r w:rsidRPr="008D0803">
        <w:rPr>
          <w:rFonts w:ascii="Garamond" w:hAnsi="Garamond"/>
        </w:rPr>
        <w:t>From Argentina to Zambia: A World-wide Test of Economic Voting.</w:t>
      </w:r>
      <w:r w:rsidR="00042DDA">
        <w:rPr>
          <w:rFonts w:ascii="Garamond" w:hAnsi="Garamond"/>
        </w:rPr>
        <w:t>”</w:t>
      </w:r>
      <w:r w:rsidRPr="008D0803">
        <w:rPr>
          <w:rFonts w:ascii="Garamond" w:hAnsi="Garamond"/>
        </w:rPr>
        <w:t xml:space="preserve"> </w:t>
      </w:r>
      <w:r w:rsidRPr="008D0803">
        <w:rPr>
          <w:rFonts w:ascii="Garamond" w:hAnsi="Garamond"/>
          <w:i/>
          <w:iCs/>
        </w:rPr>
        <w:t>Electoral Studies</w:t>
      </w:r>
      <w:r w:rsidR="00EC34EB" w:rsidRPr="0063486D">
        <w:rPr>
          <w:rFonts w:ascii="Garamond" w:hAnsi="Garamond"/>
        </w:rPr>
        <w:t xml:space="preserve"> 16 (3):</w:t>
      </w:r>
      <w:r w:rsidRPr="008D0803">
        <w:rPr>
          <w:rFonts w:ascii="Garamond" w:hAnsi="Garamond"/>
        </w:rPr>
        <w:t>301–316.</w:t>
      </w:r>
    </w:p>
    <w:p w14:paraId="65BFAFC8" w14:textId="57532BE3" w:rsidR="00F55CC9" w:rsidRDefault="009A06CD" w:rsidP="007A5EB9">
      <w:pPr>
        <w:pStyle w:val="Bibliography"/>
        <w:spacing w:line="480" w:lineRule="auto"/>
        <w:rPr>
          <w:rFonts w:ascii="Garamond" w:hAnsi="Garamond"/>
        </w:rPr>
      </w:pPr>
      <w:r>
        <w:rPr>
          <w:rFonts w:ascii="Garamond" w:hAnsi="Garamond"/>
        </w:rPr>
        <w:t>2017.</w:t>
      </w:r>
      <w:r w:rsidR="00F55CC9" w:rsidRPr="00F55CC9">
        <w:rPr>
          <w:rFonts w:ascii="Garamond" w:hAnsi="Garamond"/>
        </w:rPr>
        <w:t xml:space="preserve"> </w:t>
      </w:r>
      <w:r w:rsidR="00042DDA">
        <w:rPr>
          <w:rFonts w:ascii="Garamond" w:hAnsi="Garamond"/>
        </w:rPr>
        <w:t>“</w:t>
      </w:r>
      <w:r w:rsidR="00F55CC9" w:rsidRPr="00F55CC9">
        <w:rPr>
          <w:rFonts w:ascii="Garamond" w:hAnsi="Garamond"/>
        </w:rPr>
        <w:t>Fatalities in Jammu and Kashmir: 1990-2017.</w:t>
      </w:r>
      <w:r w:rsidR="00042DDA">
        <w:rPr>
          <w:rFonts w:ascii="Garamond" w:hAnsi="Garamond"/>
        </w:rPr>
        <w:t>”</w:t>
      </w:r>
      <w:r w:rsidR="00F55CC9" w:rsidRPr="00F55CC9">
        <w:rPr>
          <w:rFonts w:ascii="Garamond" w:hAnsi="Garamond"/>
        </w:rPr>
        <w:t xml:space="preserve"> South Asia Terrorism Portal. Available at &lt;http://www.satp.org/Datasheets.aspx?countries=india&amp;states=jammukashmir&gt;. Accessed 10 September 2018.</w:t>
      </w:r>
    </w:p>
    <w:p w14:paraId="6DA651D1" w14:textId="18B78656" w:rsidR="005B3C66" w:rsidRDefault="00102EBE" w:rsidP="007A5EB9">
      <w:pPr>
        <w:pStyle w:val="Bibliography"/>
        <w:spacing w:line="480" w:lineRule="auto"/>
        <w:rPr>
          <w:rFonts w:ascii="Garamond" w:hAnsi="Garamond"/>
        </w:rPr>
      </w:pPr>
      <w:r w:rsidRPr="008D0803">
        <w:rPr>
          <w:rFonts w:ascii="Garamond" w:hAnsi="Garamond"/>
        </w:rPr>
        <w:t xml:space="preserve">2016. </w:t>
      </w:r>
      <w:r w:rsidR="00042DDA">
        <w:rPr>
          <w:rFonts w:ascii="Garamond" w:hAnsi="Garamond"/>
        </w:rPr>
        <w:t>“</w:t>
      </w:r>
      <w:r w:rsidRPr="008D0803">
        <w:rPr>
          <w:rFonts w:ascii="Garamond" w:hAnsi="Garamond"/>
        </w:rPr>
        <w:t>Surgical Strikes: Full Text of Indian Army DGMO Lt Gen Ranbir Singh’s Press Conference.</w:t>
      </w:r>
      <w:r w:rsidR="00042DDA">
        <w:rPr>
          <w:rFonts w:ascii="Garamond" w:hAnsi="Garamond"/>
        </w:rPr>
        <w:t>”</w:t>
      </w:r>
      <w:r w:rsidRPr="008D0803">
        <w:rPr>
          <w:rFonts w:ascii="Garamond" w:hAnsi="Garamond"/>
        </w:rPr>
        <w:t xml:space="preserve"> </w:t>
      </w:r>
      <w:r w:rsidRPr="008D0803">
        <w:rPr>
          <w:rFonts w:ascii="Garamond" w:hAnsi="Garamond"/>
          <w:i/>
          <w:iCs/>
        </w:rPr>
        <w:t>Indian Express</w:t>
      </w:r>
      <w:r w:rsidRPr="008D0803">
        <w:rPr>
          <w:rFonts w:ascii="Garamond" w:hAnsi="Garamond"/>
        </w:rPr>
        <w:t>. Available at &lt;http://indianexpress.com/article/india/india-news-india/pakistan-infiltration-attempts-indian-army-surgical-strikes-line-of-control-jammu-and-kashmir-uri-p</w:t>
      </w:r>
      <w:r w:rsidR="00920506" w:rsidRPr="0063486D">
        <w:rPr>
          <w:rFonts w:ascii="Garamond" w:hAnsi="Garamond"/>
        </w:rPr>
        <w:t>oonch-pok-3055874/&gt;. Accessed 1</w:t>
      </w:r>
      <w:r w:rsidR="00920506">
        <w:rPr>
          <w:rFonts w:ascii="Garamond" w:hAnsi="Garamond"/>
        </w:rPr>
        <w:t>0</w:t>
      </w:r>
      <w:r w:rsidRPr="008D0803">
        <w:rPr>
          <w:rFonts w:ascii="Garamond" w:hAnsi="Garamond"/>
        </w:rPr>
        <w:t xml:space="preserve"> September 2018.</w:t>
      </w:r>
    </w:p>
    <w:p w14:paraId="53A95307" w14:textId="77777777" w:rsidR="005B3C66" w:rsidRDefault="005B3C66">
      <w:pPr>
        <w:rPr>
          <w:rFonts w:ascii="Garamond" w:hAnsi="Garamond"/>
        </w:rPr>
      </w:pPr>
      <w:r>
        <w:rPr>
          <w:rFonts w:ascii="Garamond" w:hAnsi="Garamond"/>
        </w:rPr>
        <w:br w:type="page"/>
      </w:r>
    </w:p>
    <w:p w14:paraId="21E31FD1" w14:textId="77777777" w:rsidR="005B3C66" w:rsidRPr="00C06D85" w:rsidRDefault="005B3C66" w:rsidP="005B3C66">
      <w:pPr>
        <w:ind w:left="480" w:hanging="480"/>
        <w:jc w:val="center"/>
        <w:outlineLvl w:val="0"/>
        <w:rPr>
          <w:rFonts w:ascii="Garamond" w:hAnsi="Garamond"/>
          <w:b/>
          <w:sz w:val="28"/>
          <w:szCs w:val="28"/>
        </w:rPr>
      </w:pPr>
      <w:r w:rsidRPr="00C06D85">
        <w:rPr>
          <w:rFonts w:ascii="Garamond" w:hAnsi="Garamond"/>
          <w:b/>
          <w:sz w:val="28"/>
          <w:szCs w:val="28"/>
        </w:rPr>
        <w:lastRenderedPageBreak/>
        <w:t xml:space="preserve">Appendix </w:t>
      </w:r>
    </w:p>
    <w:p w14:paraId="21485A76" w14:textId="77777777" w:rsidR="005B3C66" w:rsidRDefault="005B3C66" w:rsidP="005B3C66">
      <w:pPr>
        <w:ind w:left="480" w:hanging="480"/>
        <w:rPr>
          <w:rFonts w:ascii="Garamond" w:hAnsi="Garamond"/>
        </w:rPr>
      </w:pPr>
    </w:p>
    <w:p w14:paraId="6FC329EB" w14:textId="77777777" w:rsidR="005B3C66" w:rsidRPr="00C06D85" w:rsidRDefault="005B3C66" w:rsidP="005B3C66">
      <w:pPr>
        <w:ind w:left="480" w:hanging="480"/>
        <w:rPr>
          <w:rFonts w:ascii="Garamond" w:hAnsi="Garamond"/>
          <w:b/>
        </w:rPr>
      </w:pPr>
      <w:r>
        <w:rPr>
          <w:rFonts w:ascii="Garamond" w:hAnsi="Garamond"/>
          <w:b/>
        </w:rPr>
        <w:t xml:space="preserve">A1. </w:t>
      </w:r>
      <w:r w:rsidRPr="00C06D85">
        <w:rPr>
          <w:rFonts w:ascii="Garamond" w:hAnsi="Garamond"/>
          <w:b/>
        </w:rPr>
        <w:t xml:space="preserve">Text of Experiment </w:t>
      </w:r>
    </w:p>
    <w:p w14:paraId="2D2C2065" w14:textId="77777777" w:rsidR="005B3C66" w:rsidRPr="00B21078" w:rsidRDefault="005B3C66" w:rsidP="005B3C66">
      <w:pPr>
        <w:ind w:left="480" w:hanging="480"/>
        <w:rPr>
          <w:rFonts w:ascii="Garamond" w:hAnsi="Garamond"/>
        </w:rPr>
      </w:pPr>
    </w:p>
    <w:p w14:paraId="10E39EA2" w14:textId="77777777" w:rsidR="005B3C66" w:rsidRPr="00B21078" w:rsidRDefault="005B3C66" w:rsidP="005B3C66">
      <w:pPr>
        <w:pStyle w:val="ListParagraph"/>
        <w:ind w:left="480"/>
        <w:outlineLvl w:val="0"/>
        <w:rPr>
          <w:rFonts w:ascii="Garamond" w:hAnsi="Garamond" w:cs="Times New Roman"/>
          <w:b/>
          <w:u w:val="single"/>
        </w:rPr>
      </w:pPr>
      <w:r w:rsidRPr="00B21078">
        <w:rPr>
          <w:rFonts w:ascii="Garamond" w:hAnsi="Garamond" w:cs="Times New Roman"/>
          <w:b/>
          <w:u w:val="single"/>
        </w:rPr>
        <w:t>Treatments 1 &amp; 2 (De-Escalate PM/COAS)</w:t>
      </w:r>
    </w:p>
    <w:p w14:paraId="07495B76" w14:textId="77777777" w:rsidR="005B3C66" w:rsidRPr="00B21078" w:rsidRDefault="005B3C66" w:rsidP="005B3C66">
      <w:pPr>
        <w:ind w:left="480"/>
        <w:rPr>
          <w:rFonts w:ascii="Garamond" w:hAnsi="Garamond" w:cs="Times New Roman"/>
        </w:rPr>
      </w:pPr>
    </w:p>
    <w:p w14:paraId="24467098" w14:textId="77777777" w:rsidR="005B3C66" w:rsidRPr="00B21078" w:rsidRDefault="005B3C66" w:rsidP="005B3C66">
      <w:pPr>
        <w:ind w:left="480"/>
        <w:rPr>
          <w:rFonts w:ascii="Garamond" w:hAnsi="Garamond" w:cs="Times New Roman"/>
        </w:rPr>
      </w:pPr>
      <w:r w:rsidRPr="00B21078">
        <w:rPr>
          <w:rFonts w:ascii="Garamond" w:hAnsi="Garamond" w:cs="Times New Roman"/>
        </w:rPr>
        <w:t xml:space="preserve">Imagine fighting breaks out between India and Pakistan. India claims it was attacked by cross-border militants and in retaliation, attacks Pakistani forces across the Line of Control in Azad Kashmir, and kills 10 Pakistani soldiers. The Pakistani </w:t>
      </w:r>
      <w:r w:rsidRPr="00B21078">
        <w:rPr>
          <w:rFonts w:ascii="Garamond" w:hAnsi="Garamond" w:cs="Times New Roman"/>
          <w:b/>
        </w:rPr>
        <w:t xml:space="preserve">Prime Minister/Chief of Army Staff </w:t>
      </w:r>
      <w:r w:rsidRPr="00B21078">
        <w:rPr>
          <w:rFonts w:ascii="Garamond" w:hAnsi="Garamond" w:cs="Times New Roman"/>
        </w:rPr>
        <w:t xml:space="preserve">denounces India’s irresponsible action and asks for the international community to condemn the raid, but chooses not to retaliate. </w:t>
      </w:r>
    </w:p>
    <w:p w14:paraId="3D5A4FEF" w14:textId="77777777" w:rsidR="005B3C66" w:rsidRPr="00B21078" w:rsidRDefault="005B3C66" w:rsidP="005B3C66">
      <w:pPr>
        <w:ind w:left="480"/>
        <w:rPr>
          <w:rFonts w:ascii="Garamond" w:hAnsi="Garamond" w:cs="Times New Roman"/>
        </w:rPr>
      </w:pPr>
    </w:p>
    <w:p w14:paraId="4CB9600F" w14:textId="77777777" w:rsidR="005B3C66" w:rsidRPr="00B21078" w:rsidRDefault="005B3C66" w:rsidP="005B3C66">
      <w:pPr>
        <w:ind w:left="480"/>
        <w:rPr>
          <w:rFonts w:ascii="Garamond" w:hAnsi="Garamond" w:cs="Times New Roman"/>
        </w:rPr>
      </w:pPr>
      <w:r w:rsidRPr="00B21078">
        <w:rPr>
          <w:rFonts w:ascii="Garamond" w:hAnsi="Garamond" w:cs="Times New Roman"/>
        </w:rPr>
        <w:t>On a scale of 1-7, how supportive are you of the</w:t>
      </w:r>
      <w:r w:rsidRPr="00B21078">
        <w:rPr>
          <w:rFonts w:ascii="Garamond" w:hAnsi="Garamond" w:cs="Times New Roman"/>
          <w:b/>
        </w:rPr>
        <w:t xml:space="preserve"> Prime Minister/Chief of Army Staff’s</w:t>
      </w:r>
      <w:r w:rsidRPr="00B21078">
        <w:rPr>
          <w:rFonts w:ascii="Garamond" w:hAnsi="Garamond" w:cs="Times New Roman"/>
        </w:rPr>
        <w:t xml:space="preserve"> decision (to denounce but not take retaliatory action), where 1 means completely </w:t>
      </w:r>
      <w:r>
        <w:rPr>
          <w:rFonts w:ascii="Garamond" w:hAnsi="Garamond" w:cs="Times New Roman"/>
        </w:rPr>
        <w:t xml:space="preserve">opposed </w:t>
      </w:r>
      <w:r w:rsidRPr="00B21078">
        <w:rPr>
          <w:rFonts w:ascii="Garamond" w:hAnsi="Garamond" w:cs="Times New Roman"/>
        </w:rPr>
        <w:t>and 7 means completely supportive?</w:t>
      </w:r>
    </w:p>
    <w:p w14:paraId="7EA7104A" w14:textId="77777777" w:rsidR="005B3C66" w:rsidRPr="00B21078" w:rsidRDefault="005B3C66" w:rsidP="005B3C66">
      <w:pPr>
        <w:ind w:left="480"/>
        <w:rPr>
          <w:rFonts w:ascii="Garamond" w:hAnsi="Garamond" w:cs="Times New Roman"/>
          <w:b/>
          <w:u w:val="single"/>
        </w:rPr>
      </w:pPr>
    </w:p>
    <w:p w14:paraId="6A28D5D9" w14:textId="77777777" w:rsidR="005B3C66" w:rsidRPr="00B21078" w:rsidRDefault="005B3C66" w:rsidP="005B3C66">
      <w:pPr>
        <w:ind w:left="480"/>
        <w:outlineLvl w:val="0"/>
        <w:rPr>
          <w:rFonts w:ascii="Garamond" w:hAnsi="Garamond" w:cs="Times New Roman"/>
          <w:b/>
          <w:u w:val="single"/>
        </w:rPr>
      </w:pPr>
      <w:r w:rsidRPr="00B21078">
        <w:rPr>
          <w:rFonts w:ascii="Garamond" w:hAnsi="Garamond" w:cs="Times New Roman"/>
          <w:b/>
          <w:u w:val="single"/>
        </w:rPr>
        <w:t>Treatments 3 &amp; 4 (De-escalate with justification/PM)</w:t>
      </w:r>
    </w:p>
    <w:p w14:paraId="3BA0E67C" w14:textId="77777777" w:rsidR="005B3C66" w:rsidRPr="00B21078" w:rsidRDefault="005B3C66" w:rsidP="005B3C66">
      <w:pPr>
        <w:ind w:left="480"/>
        <w:rPr>
          <w:rFonts w:ascii="Garamond" w:hAnsi="Garamond" w:cs="Times New Roman"/>
          <w:b/>
          <w:u w:val="single"/>
        </w:rPr>
      </w:pPr>
    </w:p>
    <w:p w14:paraId="26B6F82B" w14:textId="77777777" w:rsidR="005B3C66" w:rsidRPr="00B21078" w:rsidRDefault="005B3C66" w:rsidP="005B3C66">
      <w:pPr>
        <w:ind w:left="480"/>
        <w:rPr>
          <w:rFonts w:ascii="Garamond" w:hAnsi="Garamond" w:cs="Times New Roman"/>
        </w:rPr>
      </w:pPr>
      <w:r w:rsidRPr="00B21078">
        <w:rPr>
          <w:rFonts w:ascii="Garamond" w:hAnsi="Garamond" w:cs="Times New Roman"/>
        </w:rPr>
        <w:t xml:space="preserve">Imagine fighting breaks out between India and Pakistan. India claims it was attacked by cross-border militants and in retaliation, attacks Pakistani forces across the Line of Control in Azad Kashmir, and kills 10 Pakistani soldiers. The Pakistani </w:t>
      </w:r>
      <w:r w:rsidRPr="00B21078">
        <w:rPr>
          <w:rFonts w:ascii="Garamond" w:hAnsi="Garamond" w:cs="Times New Roman"/>
          <w:b/>
        </w:rPr>
        <w:t xml:space="preserve">Prime Minister </w:t>
      </w:r>
      <w:r w:rsidRPr="00B21078">
        <w:rPr>
          <w:rFonts w:ascii="Garamond" w:hAnsi="Garamond" w:cs="Times New Roman"/>
        </w:rPr>
        <w:t>denounces India’s irresponsible action and asks for the international community to condemn the raid, but chooses not to retaliate.</w:t>
      </w:r>
    </w:p>
    <w:p w14:paraId="545B4A49" w14:textId="77777777" w:rsidR="005B3C66" w:rsidRPr="00B21078" w:rsidRDefault="005B3C66" w:rsidP="005B3C66">
      <w:pPr>
        <w:ind w:left="480"/>
        <w:rPr>
          <w:rFonts w:ascii="Garamond" w:hAnsi="Garamond" w:cs="Times New Roman"/>
        </w:rPr>
      </w:pPr>
    </w:p>
    <w:p w14:paraId="4D3DA2FE" w14:textId="77777777" w:rsidR="005B3C66" w:rsidRPr="00B21078" w:rsidRDefault="005B3C66" w:rsidP="005B3C66">
      <w:pPr>
        <w:ind w:left="480"/>
        <w:rPr>
          <w:rFonts w:ascii="Garamond" w:hAnsi="Garamond" w:cs="Times New Roman"/>
          <w:b/>
        </w:rPr>
      </w:pPr>
      <w:r w:rsidRPr="00B21078">
        <w:rPr>
          <w:rFonts w:ascii="Garamond" w:hAnsi="Garamond" w:cs="Times New Roman"/>
        </w:rPr>
        <w:t xml:space="preserve">He explains, ‘Despite India’s action, if we were to start a war, </w:t>
      </w:r>
      <w:r w:rsidRPr="00B21078">
        <w:rPr>
          <w:rFonts w:ascii="Garamond" w:hAnsi="Garamond" w:cs="Times New Roman"/>
          <w:b/>
        </w:rPr>
        <w:t>it would devastate Pakistan’s economy and could halt our development for a generation/ it could lead to the use of nuclear weapons which could kill millions of people.”</w:t>
      </w:r>
    </w:p>
    <w:p w14:paraId="50A2C742" w14:textId="77777777" w:rsidR="005B3C66" w:rsidRPr="00B21078" w:rsidRDefault="005B3C66" w:rsidP="005B3C66">
      <w:pPr>
        <w:ind w:left="480"/>
        <w:rPr>
          <w:rFonts w:ascii="Garamond" w:hAnsi="Garamond" w:cs="Times New Roman"/>
          <w:b/>
        </w:rPr>
      </w:pPr>
    </w:p>
    <w:p w14:paraId="0FC318C7" w14:textId="77777777" w:rsidR="005B3C66" w:rsidRPr="00B21078" w:rsidRDefault="005B3C66" w:rsidP="005B3C66">
      <w:pPr>
        <w:ind w:left="480"/>
        <w:rPr>
          <w:rFonts w:ascii="Garamond" w:hAnsi="Garamond" w:cs="Times New Roman"/>
        </w:rPr>
      </w:pPr>
      <w:r w:rsidRPr="00B21078">
        <w:rPr>
          <w:rFonts w:ascii="Garamond" w:hAnsi="Garamond" w:cs="Times New Roman"/>
        </w:rPr>
        <w:t>On a scale of 1-7, how supportive are you of the</w:t>
      </w:r>
      <w:r w:rsidRPr="00B21078">
        <w:rPr>
          <w:rFonts w:ascii="Garamond" w:hAnsi="Garamond" w:cs="Times New Roman"/>
          <w:b/>
        </w:rPr>
        <w:t xml:space="preserve"> Prime Minister’s</w:t>
      </w:r>
      <w:r w:rsidRPr="00B21078">
        <w:rPr>
          <w:rFonts w:ascii="Garamond" w:hAnsi="Garamond" w:cs="Times New Roman"/>
        </w:rPr>
        <w:t xml:space="preserve"> decision (to denounce but not take retaliatory action because that would harm the economy), where 1 means completely </w:t>
      </w:r>
      <w:r>
        <w:rPr>
          <w:rFonts w:ascii="Garamond" w:hAnsi="Garamond" w:cs="Times New Roman"/>
        </w:rPr>
        <w:t>opposed</w:t>
      </w:r>
      <w:r w:rsidRPr="00B21078">
        <w:rPr>
          <w:rFonts w:ascii="Garamond" w:hAnsi="Garamond" w:cs="Times New Roman"/>
        </w:rPr>
        <w:t xml:space="preserve"> and 7 means completely supportive?</w:t>
      </w:r>
    </w:p>
    <w:p w14:paraId="4A9A500D" w14:textId="77777777" w:rsidR="005B3C66" w:rsidRPr="00B21078" w:rsidRDefault="005B3C66" w:rsidP="005B3C66">
      <w:pPr>
        <w:ind w:left="480"/>
        <w:rPr>
          <w:rFonts w:ascii="Garamond" w:hAnsi="Garamond" w:cs="Times New Roman"/>
          <w:b/>
          <w:u w:val="single"/>
        </w:rPr>
      </w:pPr>
    </w:p>
    <w:p w14:paraId="1CFDE0AF" w14:textId="77777777" w:rsidR="005B3C66" w:rsidRPr="00B21078" w:rsidRDefault="005B3C66" w:rsidP="005B3C66">
      <w:pPr>
        <w:ind w:left="480"/>
        <w:rPr>
          <w:rFonts w:ascii="Garamond" w:hAnsi="Garamond" w:cs="Times New Roman"/>
          <w:b/>
          <w:u w:val="single"/>
        </w:rPr>
      </w:pPr>
    </w:p>
    <w:p w14:paraId="52A16ADF" w14:textId="77777777" w:rsidR="005B3C66" w:rsidRPr="00B21078" w:rsidRDefault="005B3C66" w:rsidP="005B3C66">
      <w:pPr>
        <w:ind w:left="480"/>
        <w:outlineLvl w:val="0"/>
        <w:rPr>
          <w:rFonts w:ascii="Garamond" w:hAnsi="Garamond" w:cs="Times New Roman"/>
          <w:b/>
          <w:u w:val="single"/>
        </w:rPr>
      </w:pPr>
      <w:r w:rsidRPr="00B21078">
        <w:rPr>
          <w:rFonts w:ascii="Garamond" w:hAnsi="Garamond" w:cs="Times New Roman"/>
          <w:b/>
          <w:u w:val="single"/>
        </w:rPr>
        <w:t>Treatments 5 &amp; 6 (Escalate PM/COAS)</w:t>
      </w:r>
    </w:p>
    <w:p w14:paraId="158DC9ED" w14:textId="77777777" w:rsidR="005B3C66" w:rsidRPr="00B21078" w:rsidRDefault="005B3C66" w:rsidP="005B3C66">
      <w:pPr>
        <w:ind w:left="480"/>
        <w:rPr>
          <w:rFonts w:ascii="Garamond" w:hAnsi="Garamond" w:cs="Times New Roman"/>
          <w:b/>
          <w:u w:val="single"/>
        </w:rPr>
      </w:pPr>
    </w:p>
    <w:p w14:paraId="7B884590" w14:textId="77777777" w:rsidR="005B3C66" w:rsidRPr="00B21078" w:rsidRDefault="005B3C66" w:rsidP="005B3C66">
      <w:pPr>
        <w:ind w:left="480"/>
        <w:rPr>
          <w:rFonts w:ascii="Garamond" w:hAnsi="Garamond"/>
          <w:b/>
        </w:rPr>
      </w:pPr>
      <w:r w:rsidRPr="00B21078">
        <w:rPr>
          <w:rFonts w:ascii="Garamond" w:hAnsi="Garamond" w:cs="Times New Roman"/>
        </w:rPr>
        <w:t xml:space="preserve">Imagine fighting breaks out between India and Pakistan. India claims it was attacked by cross-border militants and in retaliation, attacks Pakistani forces across the Line of Control in Azad Kashmir, and kills 10 Pakistani soldiers. The Pakistani </w:t>
      </w:r>
      <w:r w:rsidRPr="00B21078">
        <w:rPr>
          <w:rFonts w:ascii="Garamond" w:hAnsi="Garamond" w:cs="Times New Roman"/>
          <w:b/>
        </w:rPr>
        <w:t>Prime Minister/Chief of Army Staff</w:t>
      </w:r>
      <w:r w:rsidRPr="00B21078">
        <w:rPr>
          <w:rFonts w:ascii="Garamond" w:hAnsi="Garamond" w:cs="Times New Roman"/>
        </w:rPr>
        <w:t xml:space="preserve"> </w:t>
      </w:r>
      <w:r w:rsidRPr="00B21078">
        <w:rPr>
          <w:rFonts w:ascii="Garamond" w:hAnsi="Garamond" w:cs="Times New Roman"/>
          <w:b/>
        </w:rPr>
        <w:t>announces that in response, he ordered the army to attack Indian positions in Kashmir. The Pakistani army kills 10 Indian soldiers in this attack, but 5 more Pakistani soldiers also die during the battle.</w:t>
      </w:r>
    </w:p>
    <w:p w14:paraId="35E1958E" w14:textId="77777777" w:rsidR="005B3C66" w:rsidRPr="00B21078" w:rsidRDefault="005B3C66" w:rsidP="005B3C66">
      <w:pPr>
        <w:ind w:left="480"/>
        <w:rPr>
          <w:rFonts w:ascii="Garamond" w:hAnsi="Garamond" w:cs="Times New Roman"/>
          <w:b/>
        </w:rPr>
      </w:pPr>
    </w:p>
    <w:p w14:paraId="2A334653" w14:textId="77777777" w:rsidR="005B3C66" w:rsidRPr="00B21078" w:rsidRDefault="005B3C66" w:rsidP="005B3C66">
      <w:pPr>
        <w:ind w:left="480"/>
        <w:rPr>
          <w:rFonts w:ascii="Garamond" w:hAnsi="Garamond" w:cs="Times New Roman"/>
        </w:rPr>
      </w:pPr>
      <w:r w:rsidRPr="00B21078">
        <w:rPr>
          <w:rFonts w:ascii="Garamond" w:hAnsi="Garamond" w:cs="Times New Roman"/>
        </w:rPr>
        <w:t>On a scale of 1-7, how supportive are you of the</w:t>
      </w:r>
      <w:r w:rsidRPr="00B21078">
        <w:rPr>
          <w:rFonts w:ascii="Garamond" w:hAnsi="Garamond" w:cs="Times New Roman"/>
          <w:b/>
        </w:rPr>
        <w:t xml:space="preserve"> Prime Minister/Chief of Army Staff’s</w:t>
      </w:r>
      <w:r w:rsidRPr="00B21078">
        <w:rPr>
          <w:rFonts w:ascii="Garamond" w:hAnsi="Garamond" w:cs="Times New Roman"/>
        </w:rPr>
        <w:t xml:space="preserve"> decision (to attack India in response), where 1 means completely </w:t>
      </w:r>
      <w:r>
        <w:rPr>
          <w:rFonts w:ascii="Garamond" w:hAnsi="Garamond" w:cs="Times New Roman"/>
        </w:rPr>
        <w:t xml:space="preserve">opposed </w:t>
      </w:r>
      <w:r w:rsidRPr="00B21078">
        <w:rPr>
          <w:rFonts w:ascii="Garamond" w:hAnsi="Garamond" w:cs="Times New Roman"/>
        </w:rPr>
        <w:t>and 7 means completely supportive?</w:t>
      </w:r>
    </w:p>
    <w:p w14:paraId="0C1D9A8C" w14:textId="77777777" w:rsidR="005B3C66" w:rsidRPr="00B21078" w:rsidRDefault="005B3C66" w:rsidP="005B3C66">
      <w:pPr>
        <w:pBdr>
          <w:bottom w:val="single" w:sz="6" w:space="1" w:color="auto"/>
        </w:pBdr>
        <w:ind w:left="480"/>
        <w:rPr>
          <w:rFonts w:ascii="Garamond" w:hAnsi="Garamond"/>
          <w:b/>
        </w:rPr>
      </w:pPr>
    </w:p>
    <w:p w14:paraId="66BEAFC5" w14:textId="77777777" w:rsidR="005B3C66" w:rsidRPr="00B21078" w:rsidRDefault="005B3C66" w:rsidP="005B3C66">
      <w:pPr>
        <w:rPr>
          <w:rFonts w:ascii="Garamond" w:hAnsi="Garamond"/>
          <w:b/>
        </w:rPr>
      </w:pPr>
    </w:p>
    <w:p w14:paraId="3C69FA46" w14:textId="77777777" w:rsidR="005B3C66" w:rsidRPr="00B21078" w:rsidRDefault="005B3C66" w:rsidP="005B3C66">
      <w:pPr>
        <w:rPr>
          <w:rFonts w:ascii="Garamond" w:hAnsi="Garamond"/>
          <w:b/>
        </w:rPr>
      </w:pPr>
      <w:r>
        <w:rPr>
          <w:rFonts w:ascii="Garamond" w:hAnsi="Garamond"/>
          <w:b/>
        </w:rPr>
        <w:lastRenderedPageBreak/>
        <w:t xml:space="preserve">A2. </w:t>
      </w:r>
      <w:r w:rsidRPr="00B21078">
        <w:rPr>
          <w:rFonts w:ascii="Garamond" w:hAnsi="Garamond"/>
          <w:b/>
        </w:rPr>
        <w:t>Balance Tests</w:t>
      </w:r>
    </w:p>
    <w:p w14:paraId="48B323E0" w14:textId="77777777" w:rsidR="005B3C66" w:rsidRPr="00B21078" w:rsidRDefault="005B3C66" w:rsidP="005B3C66">
      <w:pPr>
        <w:rPr>
          <w:rFonts w:ascii="Garamond" w:hAnsi="Garamond"/>
          <w:b/>
        </w:rPr>
      </w:pPr>
    </w:p>
    <w:p w14:paraId="1B74170D" w14:textId="77777777" w:rsidR="005B3C66" w:rsidRPr="00B21078" w:rsidRDefault="005B3C66" w:rsidP="005B3C66">
      <w:pPr>
        <w:jc w:val="center"/>
        <w:rPr>
          <w:rFonts w:ascii="Garamond" w:hAnsi="Garamond"/>
          <w:b/>
        </w:rPr>
      </w:pPr>
      <w:r w:rsidRPr="00B21078">
        <w:rPr>
          <w:rFonts w:ascii="Garamond" w:hAnsi="Garamond"/>
          <w:b/>
        </w:rPr>
        <w:t xml:space="preserve">Difference in Means (with T-test P-values) between </w:t>
      </w:r>
    </w:p>
    <w:p w14:paraId="4FA51CEC" w14:textId="77777777" w:rsidR="005B3C66" w:rsidRPr="00B21078" w:rsidRDefault="005B3C66" w:rsidP="005B3C66">
      <w:pPr>
        <w:jc w:val="center"/>
        <w:rPr>
          <w:rFonts w:ascii="Garamond" w:hAnsi="Garamond"/>
          <w:b/>
        </w:rPr>
      </w:pPr>
      <w:r w:rsidRPr="00B21078">
        <w:rPr>
          <w:rFonts w:ascii="Garamond" w:hAnsi="Garamond"/>
          <w:b/>
        </w:rPr>
        <w:t xml:space="preserve">Covariate Mean for Respondents in Survey Version 1 and _______. </w:t>
      </w:r>
    </w:p>
    <w:tbl>
      <w:tblPr>
        <w:tblStyle w:val="TableGrid"/>
        <w:tblW w:w="0" w:type="auto"/>
        <w:tblLook w:val="04A0" w:firstRow="1" w:lastRow="0" w:firstColumn="1" w:lastColumn="0" w:noHBand="0" w:noVBand="1"/>
      </w:tblPr>
      <w:tblGrid>
        <w:gridCol w:w="1345"/>
        <w:gridCol w:w="1213"/>
        <w:gridCol w:w="1358"/>
        <w:gridCol w:w="1358"/>
        <w:gridCol w:w="1358"/>
        <w:gridCol w:w="1359"/>
        <w:gridCol w:w="1359"/>
      </w:tblGrid>
      <w:tr w:rsidR="005B3C66" w:rsidRPr="00B21078" w14:paraId="1C60ADA3" w14:textId="77777777" w:rsidTr="00064D36">
        <w:tc>
          <w:tcPr>
            <w:tcW w:w="1345" w:type="dxa"/>
          </w:tcPr>
          <w:p w14:paraId="0C53635A" w14:textId="77777777" w:rsidR="005B3C66" w:rsidRPr="00B21078" w:rsidRDefault="005B3C66" w:rsidP="00064D36">
            <w:pPr>
              <w:rPr>
                <w:rFonts w:ascii="Garamond" w:hAnsi="Garamond"/>
                <w:b/>
              </w:rPr>
            </w:pPr>
            <w:r w:rsidRPr="00B21078">
              <w:rPr>
                <w:rFonts w:ascii="Garamond" w:hAnsi="Garamond"/>
                <w:b/>
              </w:rPr>
              <w:t>Covariates</w:t>
            </w:r>
          </w:p>
        </w:tc>
        <w:tc>
          <w:tcPr>
            <w:tcW w:w="1213" w:type="dxa"/>
          </w:tcPr>
          <w:p w14:paraId="76173076" w14:textId="77777777" w:rsidR="005B3C66" w:rsidRPr="00B21078" w:rsidRDefault="005B3C66" w:rsidP="00064D36">
            <w:pPr>
              <w:rPr>
                <w:rFonts w:ascii="Garamond" w:hAnsi="Garamond"/>
                <w:b/>
              </w:rPr>
            </w:pPr>
            <w:r w:rsidRPr="00B21078">
              <w:rPr>
                <w:rFonts w:ascii="Garamond" w:hAnsi="Garamond"/>
                <w:b/>
              </w:rPr>
              <w:t>Min,Max</w:t>
            </w:r>
          </w:p>
        </w:tc>
        <w:tc>
          <w:tcPr>
            <w:tcW w:w="1358" w:type="dxa"/>
          </w:tcPr>
          <w:p w14:paraId="72AB049E" w14:textId="77777777" w:rsidR="005B3C66" w:rsidRPr="00B21078" w:rsidRDefault="005B3C66" w:rsidP="00064D36">
            <w:pPr>
              <w:rPr>
                <w:rFonts w:ascii="Garamond" w:hAnsi="Garamond"/>
                <w:b/>
              </w:rPr>
            </w:pPr>
            <w:r w:rsidRPr="00B21078">
              <w:rPr>
                <w:rFonts w:ascii="Garamond" w:hAnsi="Garamond"/>
                <w:b/>
              </w:rPr>
              <w:t>Version 2</w:t>
            </w:r>
          </w:p>
        </w:tc>
        <w:tc>
          <w:tcPr>
            <w:tcW w:w="1358" w:type="dxa"/>
          </w:tcPr>
          <w:p w14:paraId="25DD1504" w14:textId="77777777" w:rsidR="005B3C66" w:rsidRPr="00B21078" w:rsidRDefault="005B3C66" w:rsidP="00064D36">
            <w:pPr>
              <w:rPr>
                <w:rFonts w:ascii="Garamond" w:hAnsi="Garamond"/>
                <w:b/>
              </w:rPr>
            </w:pPr>
            <w:r w:rsidRPr="00B21078">
              <w:rPr>
                <w:rFonts w:ascii="Garamond" w:hAnsi="Garamond"/>
                <w:b/>
              </w:rPr>
              <w:t>Version 3</w:t>
            </w:r>
          </w:p>
        </w:tc>
        <w:tc>
          <w:tcPr>
            <w:tcW w:w="1358" w:type="dxa"/>
          </w:tcPr>
          <w:p w14:paraId="2D7BF86C" w14:textId="77777777" w:rsidR="005B3C66" w:rsidRPr="00B21078" w:rsidRDefault="005B3C66" w:rsidP="00064D36">
            <w:pPr>
              <w:rPr>
                <w:rFonts w:ascii="Garamond" w:hAnsi="Garamond"/>
                <w:b/>
              </w:rPr>
            </w:pPr>
            <w:r w:rsidRPr="00B21078">
              <w:rPr>
                <w:rFonts w:ascii="Garamond" w:hAnsi="Garamond"/>
                <w:b/>
              </w:rPr>
              <w:t>Version 4</w:t>
            </w:r>
          </w:p>
        </w:tc>
        <w:tc>
          <w:tcPr>
            <w:tcW w:w="1359" w:type="dxa"/>
          </w:tcPr>
          <w:p w14:paraId="07F60308" w14:textId="77777777" w:rsidR="005B3C66" w:rsidRPr="00B21078" w:rsidRDefault="005B3C66" w:rsidP="00064D36">
            <w:pPr>
              <w:rPr>
                <w:rFonts w:ascii="Garamond" w:hAnsi="Garamond"/>
                <w:b/>
              </w:rPr>
            </w:pPr>
            <w:r w:rsidRPr="00B21078">
              <w:rPr>
                <w:rFonts w:ascii="Garamond" w:hAnsi="Garamond"/>
                <w:b/>
              </w:rPr>
              <w:t>Version 5</w:t>
            </w:r>
          </w:p>
        </w:tc>
        <w:tc>
          <w:tcPr>
            <w:tcW w:w="1359" w:type="dxa"/>
          </w:tcPr>
          <w:p w14:paraId="03DEFB70" w14:textId="77777777" w:rsidR="005B3C66" w:rsidRPr="00B21078" w:rsidRDefault="005B3C66" w:rsidP="00064D36">
            <w:pPr>
              <w:rPr>
                <w:rFonts w:ascii="Garamond" w:hAnsi="Garamond"/>
                <w:b/>
              </w:rPr>
            </w:pPr>
            <w:r w:rsidRPr="00B21078">
              <w:rPr>
                <w:rFonts w:ascii="Garamond" w:hAnsi="Garamond"/>
                <w:b/>
              </w:rPr>
              <w:t>Version 6</w:t>
            </w:r>
          </w:p>
        </w:tc>
      </w:tr>
      <w:tr w:rsidR="005B3C66" w:rsidRPr="00B21078" w14:paraId="011EC2EF" w14:textId="77777777" w:rsidTr="00064D36">
        <w:tc>
          <w:tcPr>
            <w:tcW w:w="1345" w:type="dxa"/>
          </w:tcPr>
          <w:p w14:paraId="43F217A9" w14:textId="77777777" w:rsidR="005B3C66" w:rsidRPr="00B21078" w:rsidRDefault="005B3C66" w:rsidP="00064D36">
            <w:pPr>
              <w:rPr>
                <w:rFonts w:ascii="Garamond" w:hAnsi="Garamond"/>
                <w:b/>
              </w:rPr>
            </w:pPr>
            <w:r w:rsidRPr="00B21078">
              <w:rPr>
                <w:rFonts w:ascii="Garamond" w:hAnsi="Garamond"/>
                <w:b/>
                <w:i/>
              </w:rPr>
              <w:t>Female</w:t>
            </w:r>
          </w:p>
        </w:tc>
        <w:tc>
          <w:tcPr>
            <w:tcW w:w="1213" w:type="dxa"/>
          </w:tcPr>
          <w:p w14:paraId="3982993E" w14:textId="77777777" w:rsidR="005B3C66" w:rsidRPr="00B21078" w:rsidRDefault="005B3C66" w:rsidP="00064D36">
            <w:pPr>
              <w:jc w:val="center"/>
              <w:rPr>
                <w:rFonts w:ascii="Garamond" w:hAnsi="Garamond"/>
              </w:rPr>
            </w:pPr>
            <w:r w:rsidRPr="00B21078">
              <w:rPr>
                <w:rFonts w:ascii="Garamond" w:hAnsi="Garamond"/>
              </w:rPr>
              <w:t>(0, 1)</w:t>
            </w:r>
          </w:p>
        </w:tc>
        <w:tc>
          <w:tcPr>
            <w:tcW w:w="1358" w:type="dxa"/>
          </w:tcPr>
          <w:p w14:paraId="623DBA1C" w14:textId="77777777" w:rsidR="005B3C66" w:rsidRPr="00B21078" w:rsidRDefault="005B3C66" w:rsidP="00064D36">
            <w:pPr>
              <w:jc w:val="center"/>
              <w:rPr>
                <w:rFonts w:ascii="Garamond" w:hAnsi="Garamond"/>
              </w:rPr>
            </w:pPr>
            <w:r w:rsidRPr="00B21078">
              <w:rPr>
                <w:rFonts w:ascii="Garamond" w:hAnsi="Garamond"/>
              </w:rPr>
              <w:t>-0.009</w:t>
            </w:r>
          </w:p>
        </w:tc>
        <w:tc>
          <w:tcPr>
            <w:tcW w:w="1358" w:type="dxa"/>
          </w:tcPr>
          <w:p w14:paraId="7519B529" w14:textId="77777777" w:rsidR="005B3C66" w:rsidRPr="00B21078" w:rsidRDefault="005B3C66" w:rsidP="00064D36">
            <w:pPr>
              <w:jc w:val="center"/>
              <w:rPr>
                <w:rFonts w:ascii="Garamond" w:hAnsi="Garamond"/>
              </w:rPr>
            </w:pPr>
            <w:r w:rsidRPr="00B21078">
              <w:rPr>
                <w:rFonts w:ascii="Garamond" w:hAnsi="Garamond"/>
              </w:rPr>
              <w:t>-0.004</w:t>
            </w:r>
          </w:p>
        </w:tc>
        <w:tc>
          <w:tcPr>
            <w:tcW w:w="1358" w:type="dxa"/>
          </w:tcPr>
          <w:p w14:paraId="7647E2CC" w14:textId="77777777" w:rsidR="005B3C66" w:rsidRPr="00B21078" w:rsidRDefault="005B3C66" w:rsidP="00064D36">
            <w:pPr>
              <w:jc w:val="center"/>
              <w:rPr>
                <w:rFonts w:ascii="Garamond" w:hAnsi="Garamond"/>
              </w:rPr>
            </w:pPr>
            <w:r w:rsidRPr="00B21078">
              <w:rPr>
                <w:rFonts w:ascii="Garamond" w:hAnsi="Garamond"/>
              </w:rPr>
              <w:t>0.021</w:t>
            </w:r>
          </w:p>
        </w:tc>
        <w:tc>
          <w:tcPr>
            <w:tcW w:w="1359" w:type="dxa"/>
          </w:tcPr>
          <w:p w14:paraId="3ED4A485" w14:textId="77777777" w:rsidR="005B3C66" w:rsidRPr="00B21078" w:rsidRDefault="005B3C66" w:rsidP="00064D36">
            <w:pPr>
              <w:jc w:val="center"/>
              <w:rPr>
                <w:rFonts w:ascii="Garamond" w:hAnsi="Garamond"/>
              </w:rPr>
            </w:pPr>
            <w:r w:rsidRPr="00B21078">
              <w:rPr>
                <w:rFonts w:ascii="Garamond" w:hAnsi="Garamond"/>
              </w:rPr>
              <w:t>0.002</w:t>
            </w:r>
          </w:p>
        </w:tc>
        <w:tc>
          <w:tcPr>
            <w:tcW w:w="1359" w:type="dxa"/>
          </w:tcPr>
          <w:p w14:paraId="7EB85841" w14:textId="77777777" w:rsidR="005B3C66" w:rsidRPr="00B21078" w:rsidRDefault="005B3C66" w:rsidP="00064D36">
            <w:pPr>
              <w:jc w:val="center"/>
              <w:rPr>
                <w:rFonts w:ascii="Garamond" w:hAnsi="Garamond"/>
              </w:rPr>
            </w:pPr>
            <w:r w:rsidRPr="00B21078">
              <w:rPr>
                <w:rFonts w:ascii="Garamond" w:hAnsi="Garamond"/>
              </w:rPr>
              <w:t>0.020</w:t>
            </w:r>
          </w:p>
        </w:tc>
      </w:tr>
      <w:tr w:rsidR="005B3C66" w:rsidRPr="00B21078" w14:paraId="71A01A98" w14:textId="77777777" w:rsidTr="00064D36">
        <w:tc>
          <w:tcPr>
            <w:tcW w:w="1345" w:type="dxa"/>
          </w:tcPr>
          <w:p w14:paraId="1428EE1E" w14:textId="77777777" w:rsidR="005B3C66" w:rsidRPr="00B21078" w:rsidRDefault="005B3C66" w:rsidP="00064D36">
            <w:pPr>
              <w:rPr>
                <w:rFonts w:ascii="Garamond" w:hAnsi="Garamond"/>
                <w:b/>
                <w:i/>
              </w:rPr>
            </w:pPr>
            <w:r w:rsidRPr="00B21078">
              <w:rPr>
                <w:rFonts w:ascii="Garamond" w:hAnsi="Garamond"/>
                <w:b/>
                <w:i/>
              </w:rPr>
              <w:t>Age</w:t>
            </w:r>
          </w:p>
        </w:tc>
        <w:tc>
          <w:tcPr>
            <w:tcW w:w="1213" w:type="dxa"/>
          </w:tcPr>
          <w:p w14:paraId="0143BD96" w14:textId="77777777" w:rsidR="005B3C66" w:rsidRPr="00B21078" w:rsidRDefault="005B3C66" w:rsidP="00064D36">
            <w:pPr>
              <w:jc w:val="center"/>
              <w:rPr>
                <w:rFonts w:ascii="Garamond" w:hAnsi="Garamond"/>
              </w:rPr>
            </w:pPr>
            <w:r w:rsidRPr="00B21078">
              <w:rPr>
                <w:rFonts w:ascii="Garamond" w:hAnsi="Garamond"/>
              </w:rPr>
              <w:t>(18, 98)</w:t>
            </w:r>
          </w:p>
        </w:tc>
        <w:tc>
          <w:tcPr>
            <w:tcW w:w="1358" w:type="dxa"/>
          </w:tcPr>
          <w:p w14:paraId="1ECCC374" w14:textId="77777777" w:rsidR="005B3C66" w:rsidRPr="00B21078" w:rsidRDefault="005B3C66" w:rsidP="00064D36">
            <w:pPr>
              <w:jc w:val="center"/>
              <w:rPr>
                <w:rFonts w:ascii="Garamond" w:hAnsi="Garamond"/>
              </w:rPr>
            </w:pPr>
            <w:r w:rsidRPr="00B21078">
              <w:rPr>
                <w:rFonts w:ascii="Garamond" w:hAnsi="Garamond"/>
              </w:rPr>
              <w:t>-0.313</w:t>
            </w:r>
          </w:p>
        </w:tc>
        <w:tc>
          <w:tcPr>
            <w:tcW w:w="1358" w:type="dxa"/>
          </w:tcPr>
          <w:p w14:paraId="3072EB75" w14:textId="77777777" w:rsidR="005B3C66" w:rsidRPr="00B21078" w:rsidRDefault="005B3C66" w:rsidP="00064D36">
            <w:pPr>
              <w:jc w:val="center"/>
              <w:rPr>
                <w:rFonts w:ascii="Garamond" w:hAnsi="Garamond"/>
              </w:rPr>
            </w:pPr>
            <w:r w:rsidRPr="00B21078">
              <w:rPr>
                <w:rFonts w:ascii="Garamond" w:hAnsi="Garamond"/>
              </w:rPr>
              <w:t>-0.715</w:t>
            </w:r>
          </w:p>
        </w:tc>
        <w:tc>
          <w:tcPr>
            <w:tcW w:w="1358" w:type="dxa"/>
          </w:tcPr>
          <w:p w14:paraId="43BFB894" w14:textId="77777777" w:rsidR="005B3C66" w:rsidRPr="00B21078" w:rsidRDefault="005B3C66" w:rsidP="00064D36">
            <w:pPr>
              <w:jc w:val="center"/>
              <w:rPr>
                <w:rFonts w:ascii="Garamond" w:hAnsi="Garamond"/>
              </w:rPr>
            </w:pPr>
            <w:r w:rsidRPr="00B21078">
              <w:rPr>
                <w:rFonts w:ascii="Garamond" w:hAnsi="Garamond"/>
              </w:rPr>
              <w:t>-0.415</w:t>
            </w:r>
          </w:p>
        </w:tc>
        <w:tc>
          <w:tcPr>
            <w:tcW w:w="1359" w:type="dxa"/>
          </w:tcPr>
          <w:p w14:paraId="2D18CDC6" w14:textId="77777777" w:rsidR="005B3C66" w:rsidRPr="00B21078" w:rsidRDefault="005B3C66" w:rsidP="00064D36">
            <w:pPr>
              <w:jc w:val="center"/>
              <w:rPr>
                <w:rFonts w:ascii="Garamond" w:hAnsi="Garamond"/>
              </w:rPr>
            </w:pPr>
            <w:r w:rsidRPr="00B21078">
              <w:rPr>
                <w:rFonts w:ascii="Garamond" w:hAnsi="Garamond"/>
              </w:rPr>
              <w:t>-0.271</w:t>
            </w:r>
          </w:p>
        </w:tc>
        <w:tc>
          <w:tcPr>
            <w:tcW w:w="1359" w:type="dxa"/>
          </w:tcPr>
          <w:p w14:paraId="2B9AEDC3" w14:textId="77777777" w:rsidR="005B3C66" w:rsidRPr="00B21078" w:rsidRDefault="005B3C66" w:rsidP="00064D36">
            <w:pPr>
              <w:jc w:val="center"/>
              <w:rPr>
                <w:rFonts w:ascii="Garamond" w:hAnsi="Garamond"/>
              </w:rPr>
            </w:pPr>
            <w:r w:rsidRPr="00B21078">
              <w:rPr>
                <w:rFonts w:ascii="Garamond" w:hAnsi="Garamond"/>
              </w:rPr>
              <w:t>-1.181</w:t>
            </w:r>
          </w:p>
        </w:tc>
      </w:tr>
      <w:tr w:rsidR="005B3C66" w:rsidRPr="00B21078" w14:paraId="0D8BE343" w14:textId="77777777" w:rsidTr="00064D36">
        <w:tc>
          <w:tcPr>
            <w:tcW w:w="1345" w:type="dxa"/>
          </w:tcPr>
          <w:p w14:paraId="2629215F" w14:textId="77777777" w:rsidR="005B3C66" w:rsidRPr="00B21078" w:rsidRDefault="005B3C66" w:rsidP="00064D36">
            <w:pPr>
              <w:rPr>
                <w:rFonts w:ascii="Garamond" w:hAnsi="Garamond"/>
                <w:b/>
                <w:i/>
              </w:rPr>
            </w:pPr>
            <w:r w:rsidRPr="00B21078">
              <w:rPr>
                <w:rFonts w:ascii="Garamond" w:hAnsi="Garamond"/>
                <w:b/>
                <w:i/>
              </w:rPr>
              <w:t>Rural</w:t>
            </w:r>
          </w:p>
        </w:tc>
        <w:tc>
          <w:tcPr>
            <w:tcW w:w="1213" w:type="dxa"/>
          </w:tcPr>
          <w:p w14:paraId="12F1FF93" w14:textId="77777777" w:rsidR="005B3C66" w:rsidRPr="00B21078" w:rsidRDefault="005B3C66" w:rsidP="00064D36">
            <w:pPr>
              <w:jc w:val="center"/>
              <w:rPr>
                <w:rFonts w:ascii="Garamond" w:hAnsi="Garamond"/>
              </w:rPr>
            </w:pPr>
            <w:r w:rsidRPr="00B21078">
              <w:rPr>
                <w:rFonts w:ascii="Garamond" w:hAnsi="Garamond"/>
              </w:rPr>
              <w:t>(0, 1)</w:t>
            </w:r>
          </w:p>
        </w:tc>
        <w:tc>
          <w:tcPr>
            <w:tcW w:w="1358" w:type="dxa"/>
          </w:tcPr>
          <w:p w14:paraId="68E65782" w14:textId="77777777" w:rsidR="005B3C66" w:rsidRPr="00B21078" w:rsidRDefault="005B3C66" w:rsidP="00064D36">
            <w:pPr>
              <w:jc w:val="center"/>
              <w:rPr>
                <w:rFonts w:ascii="Garamond" w:hAnsi="Garamond"/>
              </w:rPr>
            </w:pPr>
            <w:r w:rsidRPr="00B21078">
              <w:rPr>
                <w:rFonts w:ascii="Garamond" w:hAnsi="Garamond"/>
              </w:rPr>
              <w:t>-0.040</w:t>
            </w:r>
          </w:p>
        </w:tc>
        <w:tc>
          <w:tcPr>
            <w:tcW w:w="1358" w:type="dxa"/>
          </w:tcPr>
          <w:p w14:paraId="67B7FD67" w14:textId="77777777" w:rsidR="005B3C66" w:rsidRPr="00B21078" w:rsidRDefault="005B3C66" w:rsidP="00064D36">
            <w:pPr>
              <w:jc w:val="center"/>
              <w:rPr>
                <w:rFonts w:ascii="Garamond" w:hAnsi="Garamond"/>
              </w:rPr>
            </w:pPr>
            <w:r w:rsidRPr="00B21078">
              <w:rPr>
                <w:rFonts w:ascii="Garamond" w:hAnsi="Garamond"/>
              </w:rPr>
              <w:t>-0.017</w:t>
            </w:r>
          </w:p>
        </w:tc>
        <w:tc>
          <w:tcPr>
            <w:tcW w:w="1358" w:type="dxa"/>
          </w:tcPr>
          <w:p w14:paraId="188136D5" w14:textId="77777777" w:rsidR="005B3C66" w:rsidRPr="00B21078" w:rsidRDefault="005B3C66" w:rsidP="00064D36">
            <w:pPr>
              <w:jc w:val="center"/>
              <w:rPr>
                <w:rFonts w:ascii="Garamond" w:hAnsi="Garamond"/>
              </w:rPr>
            </w:pPr>
            <w:r w:rsidRPr="00B21078">
              <w:rPr>
                <w:rFonts w:ascii="Garamond" w:hAnsi="Garamond"/>
              </w:rPr>
              <w:t>-0.074*</w:t>
            </w:r>
          </w:p>
        </w:tc>
        <w:tc>
          <w:tcPr>
            <w:tcW w:w="1359" w:type="dxa"/>
          </w:tcPr>
          <w:p w14:paraId="302137C3" w14:textId="77777777" w:rsidR="005B3C66" w:rsidRPr="00B21078" w:rsidRDefault="005B3C66" w:rsidP="00064D36">
            <w:pPr>
              <w:jc w:val="center"/>
              <w:rPr>
                <w:rFonts w:ascii="Garamond" w:hAnsi="Garamond"/>
              </w:rPr>
            </w:pPr>
            <w:r w:rsidRPr="00B21078">
              <w:rPr>
                <w:rFonts w:ascii="Garamond" w:hAnsi="Garamond"/>
              </w:rPr>
              <w:t>-0.027</w:t>
            </w:r>
          </w:p>
        </w:tc>
        <w:tc>
          <w:tcPr>
            <w:tcW w:w="1359" w:type="dxa"/>
          </w:tcPr>
          <w:p w14:paraId="0564F807" w14:textId="77777777" w:rsidR="005B3C66" w:rsidRPr="00B21078" w:rsidRDefault="005B3C66" w:rsidP="00064D36">
            <w:pPr>
              <w:jc w:val="center"/>
              <w:rPr>
                <w:rFonts w:ascii="Garamond" w:hAnsi="Garamond"/>
              </w:rPr>
            </w:pPr>
            <w:r w:rsidRPr="00B21078">
              <w:rPr>
                <w:rFonts w:ascii="Garamond" w:hAnsi="Garamond"/>
              </w:rPr>
              <w:t>-0.085**</w:t>
            </w:r>
          </w:p>
        </w:tc>
      </w:tr>
      <w:tr w:rsidR="005B3C66" w:rsidRPr="00B21078" w14:paraId="6C6D7D64" w14:textId="77777777" w:rsidTr="00064D36">
        <w:tc>
          <w:tcPr>
            <w:tcW w:w="1345" w:type="dxa"/>
          </w:tcPr>
          <w:p w14:paraId="4A9A3617" w14:textId="77777777" w:rsidR="005B3C66" w:rsidRPr="00B21078" w:rsidRDefault="005B3C66" w:rsidP="00064D36">
            <w:pPr>
              <w:rPr>
                <w:rFonts w:ascii="Garamond" w:hAnsi="Garamond"/>
                <w:b/>
                <w:i/>
              </w:rPr>
            </w:pPr>
            <w:r w:rsidRPr="00B21078">
              <w:rPr>
                <w:rFonts w:ascii="Garamond" w:hAnsi="Garamond"/>
                <w:b/>
                <w:i/>
              </w:rPr>
              <w:t>Vote</w:t>
            </w:r>
          </w:p>
        </w:tc>
        <w:tc>
          <w:tcPr>
            <w:tcW w:w="1213" w:type="dxa"/>
          </w:tcPr>
          <w:p w14:paraId="1919E567" w14:textId="77777777" w:rsidR="005B3C66" w:rsidRPr="00B21078" w:rsidRDefault="005B3C66" w:rsidP="00064D36">
            <w:pPr>
              <w:jc w:val="center"/>
              <w:rPr>
                <w:rFonts w:ascii="Garamond" w:hAnsi="Garamond"/>
              </w:rPr>
            </w:pPr>
            <w:r w:rsidRPr="00B21078">
              <w:rPr>
                <w:rFonts w:ascii="Garamond" w:hAnsi="Garamond"/>
              </w:rPr>
              <w:t>(0, 1)</w:t>
            </w:r>
          </w:p>
        </w:tc>
        <w:tc>
          <w:tcPr>
            <w:tcW w:w="1358" w:type="dxa"/>
          </w:tcPr>
          <w:p w14:paraId="11825A1E" w14:textId="77777777" w:rsidR="005B3C66" w:rsidRPr="00B21078" w:rsidRDefault="005B3C66" w:rsidP="00064D36">
            <w:pPr>
              <w:jc w:val="center"/>
              <w:rPr>
                <w:rFonts w:ascii="Garamond" w:hAnsi="Garamond"/>
              </w:rPr>
            </w:pPr>
            <w:r w:rsidRPr="00B21078">
              <w:rPr>
                <w:rFonts w:ascii="Garamond" w:hAnsi="Garamond"/>
              </w:rPr>
              <w:t>0.009</w:t>
            </w:r>
          </w:p>
        </w:tc>
        <w:tc>
          <w:tcPr>
            <w:tcW w:w="1358" w:type="dxa"/>
          </w:tcPr>
          <w:p w14:paraId="50C7DF21" w14:textId="77777777" w:rsidR="005B3C66" w:rsidRPr="00B21078" w:rsidRDefault="005B3C66" w:rsidP="00064D36">
            <w:pPr>
              <w:jc w:val="center"/>
              <w:rPr>
                <w:rFonts w:ascii="Garamond" w:hAnsi="Garamond"/>
              </w:rPr>
            </w:pPr>
            <w:r w:rsidRPr="00B21078">
              <w:rPr>
                <w:rFonts w:ascii="Garamond" w:hAnsi="Garamond"/>
              </w:rPr>
              <w:t>-0.002</w:t>
            </w:r>
          </w:p>
        </w:tc>
        <w:tc>
          <w:tcPr>
            <w:tcW w:w="1358" w:type="dxa"/>
          </w:tcPr>
          <w:p w14:paraId="1EC7D19A" w14:textId="77777777" w:rsidR="005B3C66" w:rsidRPr="00B21078" w:rsidRDefault="005B3C66" w:rsidP="00064D36">
            <w:pPr>
              <w:jc w:val="center"/>
              <w:rPr>
                <w:rFonts w:ascii="Garamond" w:hAnsi="Garamond"/>
              </w:rPr>
            </w:pPr>
            <w:r w:rsidRPr="00B21078">
              <w:rPr>
                <w:rFonts w:ascii="Garamond" w:hAnsi="Garamond"/>
              </w:rPr>
              <w:t>-0.024</w:t>
            </w:r>
          </w:p>
        </w:tc>
        <w:tc>
          <w:tcPr>
            <w:tcW w:w="1359" w:type="dxa"/>
          </w:tcPr>
          <w:p w14:paraId="72C0C7E6" w14:textId="77777777" w:rsidR="005B3C66" w:rsidRPr="00B21078" w:rsidRDefault="005B3C66" w:rsidP="00064D36">
            <w:pPr>
              <w:jc w:val="center"/>
              <w:rPr>
                <w:rFonts w:ascii="Garamond" w:hAnsi="Garamond"/>
              </w:rPr>
            </w:pPr>
            <w:r w:rsidRPr="00B21078">
              <w:rPr>
                <w:rFonts w:ascii="Garamond" w:hAnsi="Garamond"/>
              </w:rPr>
              <w:t>0.007</w:t>
            </w:r>
          </w:p>
        </w:tc>
        <w:tc>
          <w:tcPr>
            <w:tcW w:w="1359" w:type="dxa"/>
          </w:tcPr>
          <w:p w14:paraId="68C1C348" w14:textId="77777777" w:rsidR="005B3C66" w:rsidRPr="00B21078" w:rsidRDefault="005B3C66" w:rsidP="00064D36">
            <w:pPr>
              <w:jc w:val="center"/>
              <w:rPr>
                <w:rFonts w:ascii="Garamond" w:hAnsi="Garamond"/>
              </w:rPr>
            </w:pPr>
            <w:r w:rsidRPr="00B21078">
              <w:rPr>
                <w:rFonts w:ascii="Garamond" w:hAnsi="Garamond"/>
              </w:rPr>
              <w:t>-0.011</w:t>
            </w:r>
          </w:p>
        </w:tc>
      </w:tr>
      <w:tr w:rsidR="005B3C66" w:rsidRPr="00B21078" w14:paraId="241980A3" w14:textId="77777777" w:rsidTr="00064D36">
        <w:tc>
          <w:tcPr>
            <w:tcW w:w="1345" w:type="dxa"/>
          </w:tcPr>
          <w:p w14:paraId="3F70562C" w14:textId="77777777" w:rsidR="005B3C66" w:rsidRPr="00B21078" w:rsidRDefault="005B3C66" w:rsidP="00064D36">
            <w:pPr>
              <w:rPr>
                <w:rFonts w:ascii="Garamond" w:hAnsi="Garamond"/>
                <w:b/>
                <w:i/>
              </w:rPr>
            </w:pPr>
            <w:r w:rsidRPr="00B21078">
              <w:rPr>
                <w:rFonts w:ascii="Garamond" w:hAnsi="Garamond"/>
                <w:b/>
                <w:i/>
              </w:rPr>
              <w:t>High income</w:t>
            </w:r>
          </w:p>
        </w:tc>
        <w:tc>
          <w:tcPr>
            <w:tcW w:w="1213" w:type="dxa"/>
          </w:tcPr>
          <w:p w14:paraId="53A69EBD" w14:textId="77777777" w:rsidR="005B3C66" w:rsidRPr="00B21078" w:rsidRDefault="005B3C66" w:rsidP="00064D36">
            <w:pPr>
              <w:jc w:val="center"/>
              <w:rPr>
                <w:rFonts w:ascii="Garamond" w:hAnsi="Garamond"/>
              </w:rPr>
            </w:pPr>
            <w:r w:rsidRPr="00B21078">
              <w:rPr>
                <w:rFonts w:ascii="Garamond" w:hAnsi="Garamond"/>
              </w:rPr>
              <w:t>(0, 1)</w:t>
            </w:r>
          </w:p>
        </w:tc>
        <w:tc>
          <w:tcPr>
            <w:tcW w:w="1358" w:type="dxa"/>
          </w:tcPr>
          <w:p w14:paraId="3A24A0D0" w14:textId="77777777" w:rsidR="005B3C66" w:rsidRPr="00B21078" w:rsidRDefault="005B3C66" w:rsidP="00064D36">
            <w:pPr>
              <w:jc w:val="center"/>
              <w:rPr>
                <w:rFonts w:ascii="Garamond" w:hAnsi="Garamond"/>
              </w:rPr>
            </w:pPr>
            <w:r w:rsidRPr="00B21078">
              <w:rPr>
                <w:rFonts w:ascii="Garamond" w:hAnsi="Garamond"/>
              </w:rPr>
              <w:t>0.031</w:t>
            </w:r>
          </w:p>
        </w:tc>
        <w:tc>
          <w:tcPr>
            <w:tcW w:w="1358" w:type="dxa"/>
          </w:tcPr>
          <w:p w14:paraId="2A3A1179" w14:textId="77777777" w:rsidR="005B3C66" w:rsidRPr="00B21078" w:rsidRDefault="005B3C66" w:rsidP="00064D36">
            <w:pPr>
              <w:jc w:val="center"/>
              <w:rPr>
                <w:rFonts w:ascii="Garamond" w:hAnsi="Garamond"/>
              </w:rPr>
            </w:pPr>
            <w:r w:rsidRPr="00B21078">
              <w:rPr>
                <w:rFonts w:ascii="Garamond" w:hAnsi="Garamond"/>
              </w:rPr>
              <w:t>0.021</w:t>
            </w:r>
          </w:p>
        </w:tc>
        <w:tc>
          <w:tcPr>
            <w:tcW w:w="1358" w:type="dxa"/>
          </w:tcPr>
          <w:p w14:paraId="10BD147E" w14:textId="77777777" w:rsidR="005B3C66" w:rsidRPr="00B21078" w:rsidRDefault="005B3C66" w:rsidP="00064D36">
            <w:pPr>
              <w:jc w:val="center"/>
              <w:rPr>
                <w:rFonts w:ascii="Garamond" w:hAnsi="Garamond"/>
              </w:rPr>
            </w:pPr>
            <w:r w:rsidRPr="00B21078">
              <w:rPr>
                <w:rFonts w:ascii="Garamond" w:hAnsi="Garamond"/>
              </w:rPr>
              <w:t>0.028</w:t>
            </w:r>
          </w:p>
        </w:tc>
        <w:tc>
          <w:tcPr>
            <w:tcW w:w="1359" w:type="dxa"/>
          </w:tcPr>
          <w:p w14:paraId="40C7EED4" w14:textId="77777777" w:rsidR="005B3C66" w:rsidRPr="00B21078" w:rsidRDefault="005B3C66" w:rsidP="00064D36">
            <w:pPr>
              <w:jc w:val="center"/>
              <w:rPr>
                <w:rFonts w:ascii="Garamond" w:hAnsi="Garamond"/>
              </w:rPr>
            </w:pPr>
            <w:r w:rsidRPr="00B21078">
              <w:rPr>
                <w:rFonts w:ascii="Garamond" w:hAnsi="Garamond"/>
              </w:rPr>
              <w:t>-0.019</w:t>
            </w:r>
          </w:p>
        </w:tc>
        <w:tc>
          <w:tcPr>
            <w:tcW w:w="1359" w:type="dxa"/>
          </w:tcPr>
          <w:p w14:paraId="512218AD" w14:textId="77777777" w:rsidR="005B3C66" w:rsidRPr="00B21078" w:rsidRDefault="005B3C66" w:rsidP="00064D36">
            <w:pPr>
              <w:jc w:val="center"/>
              <w:rPr>
                <w:rFonts w:ascii="Garamond" w:hAnsi="Garamond"/>
              </w:rPr>
            </w:pPr>
            <w:r w:rsidRPr="00B21078">
              <w:rPr>
                <w:rFonts w:ascii="Garamond" w:hAnsi="Garamond"/>
              </w:rPr>
              <w:t>-0.028</w:t>
            </w:r>
          </w:p>
        </w:tc>
      </w:tr>
      <w:tr w:rsidR="005B3C66" w:rsidRPr="00B21078" w14:paraId="37FAE34D" w14:textId="77777777" w:rsidTr="00064D36">
        <w:tc>
          <w:tcPr>
            <w:tcW w:w="1345" w:type="dxa"/>
          </w:tcPr>
          <w:p w14:paraId="0168B440" w14:textId="77777777" w:rsidR="005B3C66" w:rsidRPr="00B21078" w:rsidRDefault="005B3C66" w:rsidP="00064D36">
            <w:pPr>
              <w:rPr>
                <w:rFonts w:ascii="Garamond" w:hAnsi="Garamond"/>
                <w:b/>
                <w:i/>
              </w:rPr>
            </w:pPr>
            <w:r w:rsidRPr="00B21078">
              <w:rPr>
                <w:rFonts w:ascii="Garamond" w:hAnsi="Garamond"/>
                <w:b/>
                <w:i/>
              </w:rPr>
              <w:t>High education</w:t>
            </w:r>
          </w:p>
        </w:tc>
        <w:tc>
          <w:tcPr>
            <w:tcW w:w="1213" w:type="dxa"/>
          </w:tcPr>
          <w:p w14:paraId="28D7B638" w14:textId="77777777" w:rsidR="005B3C66" w:rsidRPr="00B21078" w:rsidRDefault="005B3C66" w:rsidP="00064D36">
            <w:pPr>
              <w:jc w:val="center"/>
              <w:rPr>
                <w:rFonts w:ascii="Garamond" w:hAnsi="Garamond"/>
              </w:rPr>
            </w:pPr>
            <w:r w:rsidRPr="00B21078">
              <w:rPr>
                <w:rFonts w:ascii="Garamond" w:hAnsi="Garamond"/>
              </w:rPr>
              <w:t>(0, 1)</w:t>
            </w:r>
          </w:p>
        </w:tc>
        <w:tc>
          <w:tcPr>
            <w:tcW w:w="1358" w:type="dxa"/>
          </w:tcPr>
          <w:p w14:paraId="76765A4F" w14:textId="77777777" w:rsidR="005B3C66" w:rsidRPr="00B21078" w:rsidRDefault="005B3C66" w:rsidP="00064D36">
            <w:pPr>
              <w:jc w:val="center"/>
              <w:rPr>
                <w:rFonts w:ascii="Garamond" w:hAnsi="Garamond"/>
              </w:rPr>
            </w:pPr>
            <w:r w:rsidRPr="00B21078">
              <w:rPr>
                <w:rFonts w:ascii="Garamond" w:hAnsi="Garamond"/>
              </w:rPr>
              <w:t>0.012</w:t>
            </w:r>
          </w:p>
        </w:tc>
        <w:tc>
          <w:tcPr>
            <w:tcW w:w="1358" w:type="dxa"/>
          </w:tcPr>
          <w:p w14:paraId="3573777B" w14:textId="77777777" w:rsidR="005B3C66" w:rsidRPr="00B21078" w:rsidRDefault="005B3C66" w:rsidP="00064D36">
            <w:pPr>
              <w:jc w:val="center"/>
              <w:rPr>
                <w:rFonts w:ascii="Garamond" w:hAnsi="Garamond"/>
              </w:rPr>
            </w:pPr>
            <w:r w:rsidRPr="00B21078">
              <w:rPr>
                <w:rFonts w:ascii="Garamond" w:hAnsi="Garamond"/>
              </w:rPr>
              <w:t>0.023</w:t>
            </w:r>
          </w:p>
        </w:tc>
        <w:tc>
          <w:tcPr>
            <w:tcW w:w="1358" w:type="dxa"/>
          </w:tcPr>
          <w:p w14:paraId="29BB85C6" w14:textId="77777777" w:rsidR="005B3C66" w:rsidRPr="00B21078" w:rsidRDefault="005B3C66" w:rsidP="00064D36">
            <w:pPr>
              <w:jc w:val="center"/>
              <w:rPr>
                <w:rFonts w:ascii="Garamond" w:hAnsi="Garamond"/>
              </w:rPr>
            </w:pPr>
            <w:r w:rsidRPr="00B21078">
              <w:rPr>
                <w:rFonts w:ascii="Garamond" w:hAnsi="Garamond"/>
              </w:rPr>
              <w:t>-0.036</w:t>
            </w:r>
          </w:p>
        </w:tc>
        <w:tc>
          <w:tcPr>
            <w:tcW w:w="1359" w:type="dxa"/>
          </w:tcPr>
          <w:p w14:paraId="1A07B979" w14:textId="77777777" w:rsidR="005B3C66" w:rsidRPr="00B21078" w:rsidRDefault="005B3C66" w:rsidP="00064D36">
            <w:pPr>
              <w:jc w:val="center"/>
              <w:rPr>
                <w:rFonts w:ascii="Garamond" w:hAnsi="Garamond"/>
              </w:rPr>
            </w:pPr>
            <w:r w:rsidRPr="00B21078">
              <w:rPr>
                <w:rFonts w:ascii="Garamond" w:hAnsi="Garamond"/>
              </w:rPr>
              <w:t>0.027</w:t>
            </w:r>
          </w:p>
        </w:tc>
        <w:tc>
          <w:tcPr>
            <w:tcW w:w="1359" w:type="dxa"/>
          </w:tcPr>
          <w:p w14:paraId="356327CE" w14:textId="77777777" w:rsidR="005B3C66" w:rsidRPr="00B21078" w:rsidRDefault="005B3C66" w:rsidP="00064D36">
            <w:pPr>
              <w:jc w:val="center"/>
              <w:rPr>
                <w:rFonts w:ascii="Garamond" w:hAnsi="Garamond"/>
              </w:rPr>
            </w:pPr>
            <w:r w:rsidRPr="00B21078">
              <w:rPr>
                <w:rFonts w:ascii="Garamond" w:hAnsi="Garamond"/>
              </w:rPr>
              <w:t>0.017</w:t>
            </w:r>
          </w:p>
        </w:tc>
      </w:tr>
      <w:tr w:rsidR="005B3C66" w:rsidRPr="00B21078" w14:paraId="73426F3C" w14:textId="77777777" w:rsidTr="00064D36">
        <w:tc>
          <w:tcPr>
            <w:tcW w:w="1345" w:type="dxa"/>
          </w:tcPr>
          <w:p w14:paraId="2EEED62B" w14:textId="77777777" w:rsidR="005B3C66" w:rsidRPr="00B21078" w:rsidRDefault="005B3C66" w:rsidP="00064D36">
            <w:pPr>
              <w:rPr>
                <w:rFonts w:ascii="Garamond" w:hAnsi="Garamond"/>
                <w:b/>
                <w:i/>
              </w:rPr>
            </w:pPr>
            <w:r w:rsidRPr="00B21078">
              <w:rPr>
                <w:rFonts w:ascii="Garamond" w:hAnsi="Garamond"/>
                <w:b/>
                <w:i/>
              </w:rPr>
              <w:t>PML-N</w:t>
            </w:r>
          </w:p>
        </w:tc>
        <w:tc>
          <w:tcPr>
            <w:tcW w:w="1213" w:type="dxa"/>
          </w:tcPr>
          <w:p w14:paraId="1B9AF741" w14:textId="77777777" w:rsidR="005B3C66" w:rsidRPr="00B21078" w:rsidRDefault="005B3C66" w:rsidP="00064D36">
            <w:pPr>
              <w:jc w:val="center"/>
              <w:rPr>
                <w:rFonts w:ascii="Garamond" w:hAnsi="Garamond"/>
              </w:rPr>
            </w:pPr>
            <w:r w:rsidRPr="00B21078">
              <w:rPr>
                <w:rFonts w:ascii="Garamond" w:hAnsi="Garamond"/>
              </w:rPr>
              <w:t>(0, 1)</w:t>
            </w:r>
          </w:p>
        </w:tc>
        <w:tc>
          <w:tcPr>
            <w:tcW w:w="1358" w:type="dxa"/>
          </w:tcPr>
          <w:p w14:paraId="230C44F8" w14:textId="77777777" w:rsidR="005B3C66" w:rsidRPr="00B21078" w:rsidRDefault="005B3C66" w:rsidP="00064D36">
            <w:pPr>
              <w:jc w:val="center"/>
              <w:rPr>
                <w:rFonts w:ascii="Garamond" w:hAnsi="Garamond"/>
              </w:rPr>
            </w:pPr>
            <w:r w:rsidRPr="00B21078">
              <w:rPr>
                <w:rFonts w:ascii="Garamond" w:hAnsi="Garamond"/>
              </w:rPr>
              <w:t>0.002</w:t>
            </w:r>
          </w:p>
        </w:tc>
        <w:tc>
          <w:tcPr>
            <w:tcW w:w="1358" w:type="dxa"/>
          </w:tcPr>
          <w:p w14:paraId="28BE9518" w14:textId="77777777" w:rsidR="005B3C66" w:rsidRPr="00B21078" w:rsidRDefault="005B3C66" w:rsidP="00064D36">
            <w:pPr>
              <w:jc w:val="center"/>
              <w:rPr>
                <w:rFonts w:ascii="Garamond" w:hAnsi="Garamond"/>
              </w:rPr>
            </w:pPr>
            <w:r w:rsidRPr="00B21078">
              <w:rPr>
                <w:rFonts w:ascii="Garamond" w:hAnsi="Garamond"/>
              </w:rPr>
              <w:t>-0.081*</w:t>
            </w:r>
          </w:p>
        </w:tc>
        <w:tc>
          <w:tcPr>
            <w:tcW w:w="1358" w:type="dxa"/>
          </w:tcPr>
          <w:p w14:paraId="326A79A2" w14:textId="77777777" w:rsidR="005B3C66" w:rsidRPr="00B21078" w:rsidRDefault="005B3C66" w:rsidP="00064D36">
            <w:pPr>
              <w:jc w:val="center"/>
              <w:rPr>
                <w:rFonts w:ascii="Garamond" w:hAnsi="Garamond"/>
              </w:rPr>
            </w:pPr>
            <w:r w:rsidRPr="00B21078">
              <w:rPr>
                <w:rFonts w:ascii="Garamond" w:hAnsi="Garamond"/>
              </w:rPr>
              <w:t>-0.010</w:t>
            </w:r>
          </w:p>
        </w:tc>
        <w:tc>
          <w:tcPr>
            <w:tcW w:w="1359" w:type="dxa"/>
          </w:tcPr>
          <w:p w14:paraId="39C9135E" w14:textId="77777777" w:rsidR="005B3C66" w:rsidRPr="00B21078" w:rsidRDefault="005B3C66" w:rsidP="00064D36">
            <w:pPr>
              <w:jc w:val="center"/>
              <w:rPr>
                <w:rFonts w:ascii="Garamond" w:hAnsi="Garamond"/>
              </w:rPr>
            </w:pPr>
            <w:r w:rsidRPr="00B21078">
              <w:rPr>
                <w:rFonts w:ascii="Garamond" w:hAnsi="Garamond"/>
              </w:rPr>
              <w:t>-0.043</w:t>
            </w:r>
          </w:p>
        </w:tc>
        <w:tc>
          <w:tcPr>
            <w:tcW w:w="1359" w:type="dxa"/>
          </w:tcPr>
          <w:p w14:paraId="71F8DCFB" w14:textId="77777777" w:rsidR="005B3C66" w:rsidRPr="00B21078" w:rsidRDefault="005B3C66" w:rsidP="00064D36">
            <w:pPr>
              <w:jc w:val="center"/>
              <w:rPr>
                <w:rFonts w:ascii="Garamond" w:hAnsi="Garamond"/>
              </w:rPr>
            </w:pPr>
            <w:r w:rsidRPr="00B21078">
              <w:rPr>
                <w:rFonts w:ascii="Garamond" w:hAnsi="Garamond"/>
              </w:rPr>
              <w:t>-0.015</w:t>
            </w:r>
          </w:p>
        </w:tc>
      </w:tr>
      <w:tr w:rsidR="005B3C66" w:rsidRPr="00B21078" w14:paraId="29C8863F" w14:textId="77777777" w:rsidTr="00064D36">
        <w:tc>
          <w:tcPr>
            <w:tcW w:w="1345" w:type="dxa"/>
          </w:tcPr>
          <w:p w14:paraId="56B239EC" w14:textId="77777777" w:rsidR="005B3C66" w:rsidRPr="00B21078" w:rsidRDefault="005B3C66" w:rsidP="00064D36">
            <w:pPr>
              <w:rPr>
                <w:rFonts w:ascii="Garamond" w:hAnsi="Garamond"/>
                <w:b/>
                <w:i/>
              </w:rPr>
            </w:pPr>
            <w:r w:rsidRPr="00B21078">
              <w:rPr>
                <w:rFonts w:ascii="Garamond" w:hAnsi="Garamond"/>
                <w:b/>
                <w:i/>
              </w:rPr>
              <w:t>Daily prayer</w:t>
            </w:r>
          </w:p>
        </w:tc>
        <w:tc>
          <w:tcPr>
            <w:tcW w:w="1213" w:type="dxa"/>
          </w:tcPr>
          <w:p w14:paraId="0E64E695" w14:textId="77777777" w:rsidR="005B3C66" w:rsidRPr="00B21078" w:rsidRDefault="005B3C66" w:rsidP="00064D36">
            <w:pPr>
              <w:jc w:val="center"/>
              <w:rPr>
                <w:rFonts w:ascii="Garamond" w:hAnsi="Garamond"/>
              </w:rPr>
            </w:pPr>
            <w:r w:rsidRPr="00B21078">
              <w:rPr>
                <w:rFonts w:ascii="Garamond" w:hAnsi="Garamond"/>
              </w:rPr>
              <w:t>(0, 1)</w:t>
            </w:r>
          </w:p>
        </w:tc>
        <w:tc>
          <w:tcPr>
            <w:tcW w:w="1358" w:type="dxa"/>
          </w:tcPr>
          <w:p w14:paraId="4FEE9F6B" w14:textId="77777777" w:rsidR="005B3C66" w:rsidRPr="00B21078" w:rsidRDefault="005B3C66" w:rsidP="00064D36">
            <w:pPr>
              <w:jc w:val="center"/>
              <w:rPr>
                <w:rFonts w:ascii="Garamond" w:hAnsi="Garamond"/>
              </w:rPr>
            </w:pPr>
            <w:r w:rsidRPr="00B21078">
              <w:rPr>
                <w:rFonts w:ascii="Garamond" w:hAnsi="Garamond"/>
              </w:rPr>
              <w:t>0.018</w:t>
            </w:r>
          </w:p>
        </w:tc>
        <w:tc>
          <w:tcPr>
            <w:tcW w:w="1358" w:type="dxa"/>
          </w:tcPr>
          <w:p w14:paraId="1066BC0B" w14:textId="77777777" w:rsidR="005B3C66" w:rsidRPr="00B21078" w:rsidRDefault="005B3C66" w:rsidP="00064D36">
            <w:pPr>
              <w:jc w:val="center"/>
              <w:rPr>
                <w:rFonts w:ascii="Garamond" w:hAnsi="Garamond"/>
              </w:rPr>
            </w:pPr>
            <w:r w:rsidRPr="00B21078">
              <w:rPr>
                <w:rFonts w:ascii="Garamond" w:hAnsi="Garamond"/>
              </w:rPr>
              <w:t>-0.015</w:t>
            </w:r>
          </w:p>
        </w:tc>
        <w:tc>
          <w:tcPr>
            <w:tcW w:w="1358" w:type="dxa"/>
          </w:tcPr>
          <w:p w14:paraId="5048A240" w14:textId="77777777" w:rsidR="005B3C66" w:rsidRPr="00B21078" w:rsidRDefault="005B3C66" w:rsidP="00064D36">
            <w:pPr>
              <w:jc w:val="center"/>
              <w:rPr>
                <w:rFonts w:ascii="Garamond" w:hAnsi="Garamond"/>
              </w:rPr>
            </w:pPr>
            <w:r w:rsidRPr="00B21078">
              <w:rPr>
                <w:rFonts w:ascii="Garamond" w:hAnsi="Garamond"/>
              </w:rPr>
              <w:t>-0.013</w:t>
            </w:r>
          </w:p>
        </w:tc>
        <w:tc>
          <w:tcPr>
            <w:tcW w:w="1359" w:type="dxa"/>
          </w:tcPr>
          <w:p w14:paraId="0D854A31" w14:textId="77777777" w:rsidR="005B3C66" w:rsidRPr="00B21078" w:rsidRDefault="005B3C66" w:rsidP="00064D36">
            <w:pPr>
              <w:jc w:val="center"/>
              <w:rPr>
                <w:rFonts w:ascii="Garamond" w:hAnsi="Garamond"/>
              </w:rPr>
            </w:pPr>
            <w:r w:rsidRPr="00B21078">
              <w:rPr>
                <w:rFonts w:ascii="Garamond" w:hAnsi="Garamond"/>
              </w:rPr>
              <w:t>-0.035</w:t>
            </w:r>
          </w:p>
        </w:tc>
        <w:tc>
          <w:tcPr>
            <w:tcW w:w="1359" w:type="dxa"/>
          </w:tcPr>
          <w:p w14:paraId="4D7C0494" w14:textId="77777777" w:rsidR="005B3C66" w:rsidRPr="00B21078" w:rsidRDefault="005B3C66" w:rsidP="00064D36">
            <w:pPr>
              <w:jc w:val="center"/>
              <w:rPr>
                <w:rFonts w:ascii="Garamond" w:hAnsi="Garamond"/>
              </w:rPr>
            </w:pPr>
            <w:r w:rsidRPr="00B21078">
              <w:rPr>
                <w:rFonts w:ascii="Garamond" w:hAnsi="Garamond"/>
              </w:rPr>
              <w:t>-0.065*</w:t>
            </w:r>
          </w:p>
        </w:tc>
      </w:tr>
      <w:tr w:rsidR="005B3C66" w:rsidRPr="00B21078" w14:paraId="1ED5C033" w14:textId="77777777" w:rsidTr="00064D36">
        <w:tc>
          <w:tcPr>
            <w:tcW w:w="1345" w:type="dxa"/>
          </w:tcPr>
          <w:p w14:paraId="0CD2E89F" w14:textId="77777777" w:rsidR="005B3C66" w:rsidRPr="00B21078" w:rsidRDefault="005B3C66" w:rsidP="00064D36">
            <w:pPr>
              <w:rPr>
                <w:rFonts w:ascii="Garamond" w:hAnsi="Garamond"/>
                <w:b/>
                <w:i/>
              </w:rPr>
            </w:pPr>
            <w:r w:rsidRPr="00B21078">
              <w:rPr>
                <w:rFonts w:ascii="Garamond" w:hAnsi="Garamond"/>
                <w:b/>
                <w:i/>
              </w:rPr>
              <w:t>Punjabi speaker</w:t>
            </w:r>
          </w:p>
        </w:tc>
        <w:tc>
          <w:tcPr>
            <w:tcW w:w="1213" w:type="dxa"/>
          </w:tcPr>
          <w:p w14:paraId="1232C50D" w14:textId="77777777" w:rsidR="005B3C66" w:rsidRPr="00B21078" w:rsidRDefault="005B3C66" w:rsidP="00064D36">
            <w:pPr>
              <w:jc w:val="center"/>
              <w:rPr>
                <w:rFonts w:ascii="Garamond" w:hAnsi="Garamond"/>
              </w:rPr>
            </w:pPr>
            <w:r w:rsidRPr="00B21078">
              <w:rPr>
                <w:rFonts w:ascii="Garamond" w:hAnsi="Garamond"/>
              </w:rPr>
              <w:t>(0, 1)</w:t>
            </w:r>
          </w:p>
        </w:tc>
        <w:tc>
          <w:tcPr>
            <w:tcW w:w="1358" w:type="dxa"/>
          </w:tcPr>
          <w:p w14:paraId="40BE3A6C" w14:textId="77777777" w:rsidR="005B3C66" w:rsidRPr="00B21078" w:rsidRDefault="005B3C66" w:rsidP="00064D36">
            <w:pPr>
              <w:jc w:val="center"/>
              <w:rPr>
                <w:rFonts w:ascii="Garamond" w:hAnsi="Garamond"/>
              </w:rPr>
            </w:pPr>
            <w:r w:rsidRPr="00B21078">
              <w:rPr>
                <w:rFonts w:ascii="Garamond" w:hAnsi="Garamond"/>
              </w:rPr>
              <w:t>0.012</w:t>
            </w:r>
          </w:p>
        </w:tc>
        <w:tc>
          <w:tcPr>
            <w:tcW w:w="1358" w:type="dxa"/>
          </w:tcPr>
          <w:p w14:paraId="5CD40BA3" w14:textId="77777777" w:rsidR="005B3C66" w:rsidRPr="00B21078" w:rsidRDefault="005B3C66" w:rsidP="00064D36">
            <w:pPr>
              <w:jc w:val="center"/>
              <w:rPr>
                <w:rFonts w:ascii="Garamond" w:hAnsi="Garamond"/>
              </w:rPr>
            </w:pPr>
            <w:r w:rsidRPr="00B21078">
              <w:rPr>
                <w:rFonts w:ascii="Garamond" w:hAnsi="Garamond"/>
              </w:rPr>
              <w:t>0.015</w:t>
            </w:r>
          </w:p>
        </w:tc>
        <w:tc>
          <w:tcPr>
            <w:tcW w:w="1358" w:type="dxa"/>
          </w:tcPr>
          <w:p w14:paraId="4DCF5437" w14:textId="77777777" w:rsidR="005B3C66" w:rsidRPr="00B21078" w:rsidRDefault="005B3C66" w:rsidP="00064D36">
            <w:pPr>
              <w:jc w:val="center"/>
              <w:rPr>
                <w:rFonts w:ascii="Garamond" w:hAnsi="Garamond"/>
              </w:rPr>
            </w:pPr>
            <w:r w:rsidRPr="00B21078">
              <w:rPr>
                <w:rFonts w:ascii="Garamond" w:hAnsi="Garamond"/>
              </w:rPr>
              <w:t>0.007</w:t>
            </w:r>
          </w:p>
        </w:tc>
        <w:tc>
          <w:tcPr>
            <w:tcW w:w="1359" w:type="dxa"/>
          </w:tcPr>
          <w:p w14:paraId="25DEA051" w14:textId="77777777" w:rsidR="005B3C66" w:rsidRPr="00B21078" w:rsidRDefault="005B3C66" w:rsidP="00064D36">
            <w:pPr>
              <w:jc w:val="center"/>
              <w:rPr>
                <w:rFonts w:ascii="Garamond" w:hAnsi="Garamond"/>
              </w:rPr>
            </w:pPr>
            <w:r w:rsidRPr="00B21078">
              <w:rPr>
                <w:rFonts w:ascii="Garamond" w:hAnsi="Garamond"/>
              </w:rPr>
              <w:t>-0.001</w:t>
            </w:r>
          </w:p>
        </w:tc>
        <w:tc>
          <w:tcPr>
            <w:tcW w:w="1359" w:type="dxa"/>
          </w:tcPr>
          <w:p w14:paraId="68B91133" w14:textId="77777777" w:rsidR="005B3C66" w:rsidRPr="00B21078" w:rsidRDefault="005B3C66" w:rsidP="00064D36">
            <w:pPr>
              <w:jc w:val="center"/>
              <w:rPr>
                <w:rFonts w:ascii="Garamond" w:hAnsi="Garamond"/>
              </w:rPr>
            </w:pPr>
            <w:r w:rsidRPr="00B21078">
              <w:rPr>
                <w:rFonts w:ascii="Garamond" w:hAnsi="Garamond"/>
              </w:rPr>
              <w:t xml:space="preserve"> 0.066*</w:t>
            </w:r>
          </w:p>
        </w:tc>
      </w:tr>
      <w:tr w:rsidR="005B3C66" w:rsidRPr="00B21078" w14:paraId="05926657" w14:textId="77777777" w:rsidTr="00064D36">
        <w:tc>
          <w:tcPr>
            <w:tcW w:w="1345" w:type="dxa"/>
          </w:tcPr>
          <w:p w14:paraId="093B22DF" w14:textId="77777777" w:rsidR="005B3C66" w:rsidRPr="00B21078" w:rsidRDefault="005B3C66" w:rsidP="00064D36">
            <w:pPr>
              <w:rPr>
                <w:rFonts w:ascii="Garamond" w:hAnsi="Garamond"/>
                <w:b/>
                <w:i/>
              </w:rPr>
            </w:pPr>
            <w:r w:rsidRPr="00B21078">
              <w:rPr>
                <w:rFonts w:ascii="Garamond" w:hAnsi="Garamond"/>
                <w:b/>
                <w:i/>
              </w:rPr>
              <w:t>India peace</w:t>
            </w:r>
          </w:p>
        </w:tc>
        <w:tc>
          <w:tcPr>
            <w:tcW w:w="1213" w:type="dxa"/>
          </w:tcPr>
          <w:p w14:paraId="3CB57D49" w14:textId="77777777" w:rsidR="005B3C66" w:rsidRPr="00B21078" w:rsidRDefault="005B3C66" w:rsidP="00064D36">
            <w:pPr>
              <w:jc w:val="center"/>
              <w:rPr>
                <w:rFonts w:ascii="Garamond" w:hAnsi="Garamond"/>
              </w:rPr>
            </w:pPr>
            <w:r w:rsidRPr="00B21078">
              <w:rPr>
                <w:rFonts w:ascii="Garamond" w:hAnsi="Garamond"/>
              </w:rPr>
              <w:t>(0, 1)</w:t>
            </w:r>
          </w:p>
        </w:tc>
        <w:tc>
          <w:tcPr>
            <w:tcW w:w="1358" w:type="dxa"/>
          </w:tcPr>
          <w:p w14:paraId="19941CCF" w14:textId="77777777" w:rsidR="005B3C66" w:rsidRPr="00B21078" w:rsidRDefault="005B3C66" w:rsidP="00064D36">
            <w:pPr>
              <w:jc w:val="center"/>
              <w:rPr>
                <w:rFonts w:ascii="Garamond" w:hAnsi="Garamond"/>
              </w:rPr>
            </w:pPr>
            <w:r w:rsidRPr="00B21078">
              <w:rPr>
                <w:rFonts w:ascii="Garamond" w:hAnsi="Garamond"/>
              </w:rPr>
              <w:t>0.009</w:t>
            </w:r>
          </w:p>
        </w:tc>
        <w:tc>
          <w:tcPr>
            <w:tcW w:w="1358" w:type="dxa"/>
          </w:tcPr>
          <w:p w14:paraId="6221E905" w14:textId="77777777" w:rsidR="005B3C66" w:rsidRPr="00B21078" w:rsidRDefault="005B3C66" w:rsidP="00064D36">
            <w:pPr>
              <w:jc w:val="center"/>
              <w:rPr>
                <w:rFonts w:ascii="Garamond" w:hAnsi="Garamond"/>
              </w:rPr>
            </w:pPr>
            <w:r w:rsidRPr="00B21078">
              <w:rPr>
                <w:rFonts w:ascii="Garamond" w:hAnsi="Garamond"/>
              </w:rPr>
              <w:t>0.001</w:t>
            </w:r>
          </w:p>
        </w:tc>
        <w:tc>
          <w:tcPr>
            <w:tcW w:w="1358" w:type="dxa"/>
          </w:tcPr>
          <w:p w14:paraId="49F54B05" w14:textId="77777777" w:rsidR="005B3C66" w:rsidRPr="00B21078" w:rsidRDefault="005B3C66" w:rsidP="00064D36">
            <w:pPr>
              <w:jc w:val="center"/>
              <w:rPr>
                <w:rFonts w:ascii="Garamond" w:hAnsi="Garamond"/>
              </w:rPr>
            </w:pPr>
            <w:r w:rsidRPr="00B21078">
              <w:rPr>
                <w:rFonts w:ascii="Garamond" w:hAnsi="Garamond"/>
              </w:rPr>
              <w:t>-0.018</w:t>
            </w:r>
          </w:p>
        </w:tc>
        <w:tc>
          <w:tcPr>
            <w:tcW w:w="1359" w:type="dxa"/>
          </w:tcPr>
          <w:p w14:paraId="624BCF5D" w14:textId="77777777" w:rsidR="005B3C66" w:rsidRPr="00B21078" w:rsidRDefault="005B3C66" w:rsidP="00064D36">
            <w:pPr>
              <w:jc w:val="center"/>
              <w:rPr>
                <w:rFonts w:ascii="Garamond" w:hAnsi="Garamond"/>
              </w:rPr>
            </w:pPr>
            <w:r w:rsidRPr="00B21078">
              <w:rPr>
                <w:rFonts w:ascii="Garamond" w:hAnsi="Garamond"/>
              </w:rPr>
              <w:t>-0.004</w:t>
            </w:r>
          </w:p>
        </w:tc>
        <w:tc>
          <w:tcPr>
            <w:tcW w:w="1359" w:type="dxa"/>
          </w:tcPr>
          <w:p w14:paraId="115F06BE" w14:textId="77777777" w:rsidR="005B3C66" w:rsidRPr="00B21078" w:rsidRDefault="005B3C66" w:rsidP="00064D36">
            <w:pPr>
              <w:jc w:val="center"/>
              <w:rPr>
                <w:rFonts w:ascii="Garamond" w:hAnsi="Garamond"/>
              </w:rPr>
            </w:pPr>
            <w:r w:rsidRPr="00B21078">
              <w:rPr>
                <w:rFonts w:ascii="Garamond" w:hAnsi="Garamond"/>
              </w:rPr>
              <w:t>-0.013</w:t>
            </w:r>
          </w:p>
        </w:tc>
      </w:tr>
      <w:tr w:rsidR="005B3C66" w:rsidRPr="00B21078" w14:paraId="6B4782FB" w14:textId="77777777" w:rsidTr="00064D36">
        <w:tc>
          <w:tcPr>
            <w:tcW w:w="1345" w:type="dxa"/>
          </w:tcPr>
          <w:p w14:paraId="5C6CDDBD" w14:textId="77777777" w:rsidR="005B3C66" w:rsidRPr="00B21078" w:rsidRDefault="005B3C66" w:rsidP="00064D36">
            <w:pPr>
              <w:rPr>
                <w:rFonts w:ascii="Garamond" w:hAnsi="Garamond"/>
                <w:b/>
                <w:i/>
              </w:rPr>
            </w:pPr>
            <w:r w:rsidRPr="00B21078">
              <w:rPr>
                <w:rFonts w:ascii="Garamond" w:hAnsi="Garamond"/>
                <w:b/>
                <w:i/>
              </w:rPr>
              <w:t>Prefer democracy</w:t>
            </w:r>
          </w:p>
        </w:tc>
        <w:tc>
          <w:tcPr>
            <w:tcW w:w="1213" w:type="dxa"/>
          </w:tcPr>
          <w:p w14:paraId="57837619" w14:textId="77777777" w:rsidR="005B3C66" w:rsidRPr="00B21078" w:rsidRDefault="005B3C66" w:rsidP="00064D36">
            <w:pPr>
              <w:jc w:val="center"/>
              <w:rPr>
                <w:rFonts w:ascii="Garamond" w:hAnsi="Garamond"/>
              </w:rPr>
            </w:pPr>
            <w:r w:rsidRPr="00B21078">
              <w:rPr>
                <w:rFonts w:ascii="Garamond" w:hAnsi="Garamond"/>
              </w:rPr>
              <w:t>(0, 1)</w:t>
            </w:r>
          </w:p>
        </w:tc>
        <w:tc>
          <w:tcPr>
            <w:tcW w:w="1358" w:type="dxa"/>
          </w:tcPr>
          <w:p w14:paraId="69568023" w14:textId="77777777" w:rsidR="005B3C66" w:rsidRPr="00B21078" w:rsidRDefault="005B3C66" w:rsidP="00064D36">
            <w:pPr>
              <w:jc w:val="center"/>
              <w:rPr>
                <w:rFonts w:ascii="Garamond" w:hAnsi="Garamond"/>
              </w:rPr>
            </w:pPr>
            <w:r w:rsidRPr="00B21078">
              <w:rPr>
                <w:rFonts w:ascii="Garamond" w:hAnsi="Garamond"/>
              </w:rPr>
              <w:t>-0.003</w:t>
            </w:r>
          </w:p>
        </w:tc>
        <w:tc>
          <w:tcPr>
            <w:tcW w:w="1358" w:type="dxa"/>
          </w:tcPr>
          <w:p w14:paraId="367E9D80" w14:textId="77777777" w:rsidR="005B3C66" w:rsidRPr="00B21078" w:rsidRDefault="005B3C66" w:rsidP="00064D36">
            <w:pPr>
              <w:jc w:val="center"/>
              <w:rPr>
                <w:rFonts w:ascii="Garamond" w:hAnsi="Garamond"/>
              </w:rPr>
            </w:pPr>
            <w:r w:rsidRPr="00B21078">
              <w:rPr>
                <w:rFonts w:ascii="Garamond" w:hAnsi="Garamond"/>
              </w:rPr>
              <w:t>-0.033</w:t>
            </w:r>
          </w:p>
        </w:tc>
        <w:tc>
          <w:tcPr>
            <w:tcW w:w="1358" w:type="dxa"/>
          </w:tcPr>
          <w:p w14:paraId="326D08B9" w14:textId="77777777" w:rsidR="005B3C66" w:rsidRPr="00B21078" w:rsidRDefault="005B3C66" w:rsidP="00064D36">
            <w:pPr>
              <w:jc w:val="center"/>
              <w:rPr>
                <w:rFonts w:ascii="Garamond" w:hAnsi="Garamond"/>
              </w:rPr>
            </w:pPr>
            <w:r w:rsidRPr="00B21078">
              <w:rPr>
                <w:rFonts w:ascii="Garamond" w:hAnsi="Garamond"/>
              </w:rPr>
              <w:t>0.050</w:t>
            </w:r>
          </w:p>
        </w:tc>
        <w:tc>
          <w:tcPr>
            <w:tcW w:w="1359" w:type="dxa"/>
          </w:tcPr>
          <w:p w14:paraId="1BF47727" w14:textId="77777777" w:rsidR="005B3C66" w:rsidRPr="00B21078" w:rsidRDefault="005B3C66" w:rsidP="00064D36">
            <w:pPr>
              <w:jc w:val="center"/>
              <w:rPr>
                <w:rFonts w:ascii="Garamond" w:hAnsi="Garamond"/>
              </w:rPr>
            </w:pPr>
            <w:r w:rsidRPr="00B21078">
              <w:rPr>
                <w:rFonts w:ascii="Garamond" w:hAnsi="Garamond"/>
              </w:rPr>
              <w:t>0.034</w:t>
            </w:r>
          </w:p>
        </w:tc>
        <w:tc>
          <w:tcPr>
            <w:tcW w:w="1359" w:type="dxa"/>
          </w:tcPr>
          <w:p w14:paraId="0C8BD3C2" w14:textId="77777777" w:rsidR="005B3C66" w:rsidRPr="00B21078" w:rsidRDefault="005B3C66" w:rsidP="00064D36">
            <w:pPr>
              <w:jc w:val="center"/>
              <w:rPr>
                <w:rFonts w:ascii="Garamond" w:hAnsi="Garamond"/>
              </w:rPr>
            </w:pPr>
            <w:r w:rsidRPr="00B21078">
              <w:rPr>
                <w:rFonts w:ascii="Garamond" w:hAnsi="Garamond"/>
              </w:rPr>
              <w:t>-0.006</w:t>
            </w:r>
          </w:p>
        </w:tc>
      </w:tr>
      <w:tr w:rsidR="005B3C66" w:rsidRPr="00B21078" w14:paraId="7F42D84E" w14:textId="77777777" w:rsidTr="00064D36">
        <w:tc>
          <w:tcPr>
            <w:tcW w:w="9350" w:type="dxa"/>
            <w:gridSpan w:val="7"/>
          </w:tcPr>
          <w:p w14:paraId="3178B84B" w14:textId="77777777" w:rsidR="005B3C66" w:rsidRPr="00B21078" w:rsidRDefault="005B3C66" w:rsidP="00064D36">
            <w:pPr>
              <w:rPr>
                <w:rFonts w:ascii="Garamond" w:hAnsi="Garamond"/>
              </w:rPr>
            </w:pPr>
            <w:r w:rsidRPr="00B21078">
              <w:rPr>
                <w:rFonts w:ascii="Garamond" w:hAnsi="Garamond"/>
              </w:rPr>
              <w:t>* p&lt;0.1, ** p&lt;0.05</w:t>
            </w:r>
          </w:p>
        </w:tc>
      </w:tr>
    </w:tbl>
    <w:p w14:paraId="427117FB" w14:textId="77777777" w:rsidR="005B3C66" w:rsidRPr="00B21078" w:rsidRDefault="005B3C66" w:rsidP="005B3C66">
      <w:pPr>
        <w:rPr>
          <w:rFonts w:ascii="Garamond" w:hAnsi="Garamond"/>
          <w:b/>
        </w:rPr>
      </w:pPr>
    </w:p>
    <w:p w14:paraId="07B1C48A" w14:textId="77777777" w:rsidR="005B3C66" w:rsidRPr="00B21078" w:rsidRDefault="005B3C66" w:rsidP="005B3C66">
      <w:pPr>
        <w:rPr>
          <w:rFonts w:ascii="Garamond" w:hAnsi="Garamond"/>
        </w:rPr>
      </w:pPr>
      <w:r>
        <w:rPr>
          <w:rFonts w:ascii="Garamond" w:hAnsi="Garamond"/>
        </w:rPr>
        <w:t>I</w:t>
      </w:r>
      <w:r w:rsidRPr="00B21078">
        <w:rPr>
          <w:rFonts w:ascii="Garamond" w:hAnsi="Garamond"/>
        </w:rPr>
        <w:t xml:space="preserve">n 55 t-tests, we find 4 variables where the difference in means exceeds the p&lt;0.10 level and 1 variable where the difference in means exceeds the p&lt;0.05 level, which is consistent with expectations. Given that this is what we would expect by chance, we can be confident that the randomization succeeded in achieving balance on demographic, behavioral, and attitudinal covariates. </w:t>
      </w:r>
    </w:p>
    <w:p w14:paraId="49CD9921" w14:textId="77777777" w:rsidR="005B3C66" w:rsidRPr="00B21078" w:rsidRDefault="005B3C66" w:rsidP="005B3C66">
      <w:pPr>
        <w:rPr>
          <w:rFonts w:ascii="Garamond" w:hAnsi="Garamond"/>
        </w:rPr>
      </w:pPr>
    </w:p>
    <w:p w14:paraId="6F786D43" w14:textId="77777777" w:rsidR="005B3C66" w:rsidRPr="00B21078" w:rsidRDefault="005B3C66" w:rsidP="005B3C66">
      <w:pPr>
        <w:rPr>
          <w:rFonts w:ascii="Garamond" w:hAnsi="Garamond"/>
        </w:rPr>
      </w:pPr>
      <w:r>
        <w:rPr>
          <w:rFonts w:ascii="Garamond" w:hAnsi="Garamond"/>
        </w:rPr>
        <w:t>G</w:t>
      </w:r>
      <w:r w:rsidRPr="00B21078">
        <w:rPr>
          <w:rFonts w:ascii="Garamond" w:hAnsi="Garamond"/>
        </w:rPr>
        <w:t>iven the presence of multiple treatment conditions, we fit a multinomial logistic regression model to the following equation:</w:t>
      </w:r>
    </w:p>
    <w:p w14:paraId="7A04A137" w14:textId="77777777" w:rsidR="005B3C66" w:rsidRPr="00B21078" w:rsidRDefault="005B3C66" w:rsidP="005B3C66">
      <w:pPr>
        <w:rPr>
          <w:rFonts w:ascii="Garamond" w:hAnsi="Garamond"/>
        </w:rPr>
      </w:pPr>
    </w:p>
    <w:p w14:paraId="1EA9C12E" w14:textId="77777777" w:rsidR="005B3C66" w:rsidRPr="00B21078" w:rsidRDefault="005B3C66" w:rsidP="005B3C66">
      <w:pPr>
        <w:rPr>
          <w:rFonts w:ascii="Garamond" w:hAnsi="Garamond"/>
        </w:rPr>
      </w:pPr>
      <m:oMathPara>
        <m:oMath>
          <m:r>
            <w:rPr>
              <w:rFonts w:ascii="Cambria Math" w:hAnsi="Cambria Math"/>
            </w:rPr>
            <m:t>Version=α+</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Female+</m:t>
          </m:r>
          <m:sSub>
            <m:sSubPr>
              <m:ctrlPr>
                <w:rPr>
                  <w:rFonts w:ascii="Cambria Math" w:hAnsi="Cambria Math"/>
                  <w:i/>
                </w:rPr>
              </m:ctrlPr>
            </m:sSubPr>
            <m:e>
              <m:r>
                <w:rPr>
                  <w:rFonts w:ascii="Cambria Math" w:hAnsi="Cambria Math"/>
                </w:rPr>
                <m:t>β2</m:t>
              </m:r>
            </m:e>
            <m:sub/>
          </m:sSub>
          <m:r>
            <w:rPr>
              <w:rFonts w:ascii="Cambria Math" w:hAnsi="Cambria Math"/>
            </w:rPr>
            <m:t>Age+</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Rural+</m:t>
          </m:r>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Vote+</m:t>
          </m:r>
          <m:sSub>
            <m:sSubPr>
              <m:ctrlPr>
                <w:rPr>
                  <w:rFonts w:ascii="Cambria Math" w:hAnsi="Cambria Math"/>
                  <w:i/>
                </w:rPr>
              </m:ctrlPr>
            </m:sSubPr>
            <m:e>
              <m:r>
                <w:rPr>
                  <w:rFonts w:ascii="Cambria Math" w:hAnsi="Cambria Math"/>
                </w:rPr>
                <m:t>β</m:t>
              </m:r>
            </m:e>
            <m:sub>
              <m:r>
                <w:rPr>
                  <w:rFonts w:ascii="Cambria Math" w:hAnsi="Cambria Math"/>
                </w:rPr>
                <m:t>5</m:t>
              </m:r>
            </m:sub>
          </m:sSub>
          <m:r>
            <w:rPr>
              <w:rFonts w:ascii="Cambria Math" w:hAnsi="Cambria Math"/>
            </w:rPr>
            <m:t>High income+</m:t>
          </m:r>
          <m:sSub>
            <m:sSubPr>
              <m:ctrlPr>
                <w:rPr>
                  <w:rFonts w:ascii="Cambria Math" w:hAnsi="Cambria Math"/>
                  <w:i/>
                </w:rPr>
              </m:ctrlPr>
            </m:sSubPr>
            <m:e>
              <m:r>
                <w:rPr>
                  <w:rFonts w:ascii="Cambria Math" w:hAnsi="Cambria Math"/>
                </w:rPr>
                <m:t>β</m:t>
              </m:r>
            </m:e>
            <m:sub>
              <m:r>
                <w:rPr>
                  <w:rFonts w:ascii="Cambria Math" w:hAnsi="Cambria Math"/>
                </w:rPr>
                <m:t>6</m:t>
              </m:r>
            </m:sub>
          </m:sSub>
          <m:r>
            <w:rPr>
              <w:rFonts w:ascii="Cambria Math" w:hAnsi="Cambria Math"/>
            </w:rPr>
            <m:t>High education+</m:t>
          </m:r>
          <m:sSub>
            <m:sSubPr>
              <m:ctrlPr>
                <w:rPr>
                  <w:rFonts w:ascii="Cambria Math" w:hAnsi="Cambria Math"/>
                  <w:i/>
                </w:rPr>
              </m:ctrlPr>
            </m:sSubPr>
            <m:e>
              <m:r>
                <w:rPr>
                  <w:rFonts w:ascii="Cambria Math" w:hAnsi="Cambria Math"/>
                </w:rPr>
                <m:t>β</m:t>
              </m:r>
            </m:e>
            <m:sub>
              <m:r>
                <w:rPr>
                  <w:rFonts w:ascii="Cambria Math" w:hAnsi="Cambria Math"/>
                </w:rPr>
                <m:t>7</m:t>
              </m:r>
            </m:sub>
          </m:sSub>
          <m:r>
            <w:rPr>
              <w:rFonts w:ascii="Cambria Math" w:hAnsi="Cambria Math"/>
            </w:rPr>
            <m:t>PMLN+</m:t>
          </m:r>
          <m:sSub>
            <m:sSubPr>
              <m:ctrlPr>
                <w:rPr>
                  <w:rFonts w:ascii="Cambria Math" w:hAnsi="Cambria Math"/>
                  <w:i/>
                </w:rPr>
              </m:ctrlPr>
            </m:sSubPr>
            <m:e>
              <m:r>
                <w:rPr>
                  <w:rFonts w:ascii="Cambria Math" w:hAnsi="Cambria Math"/>
                </w:rPr>
                <m:t>β</m:t>
              </m:r>
            </m:e>
            <m:sub>
              <m:r>
                <w:rPr>
                  <w:rFonts w:ascii="Cambria Math" w:hAnsi="Cambria Math"/>
                </w:rPr>
                <m:t>8</m:t>
              </m:r>
            </m:sub>
          </m:sSub>
          <m:r>
            <w:rPr>
              <w:rFonts w:ascii="Cambria Math" w:hAnsi="Cambria Math"/>
            </w:rPr>
            <m:t>Daily prayer+</m:t>
          </m:r>
          <m:sSub>
            <m:sSubPr>
              <m:ctrlPr>
                <w:rPr>
                  <w:rFonts w:ascii="Cambria Math" w:hAnsi="Cambria Math"/>
                  <w:i/>
                </w:rPr>
              </m:ctrlPr>
            </m:sSubPr>
            <m:e>
              <m:r>
                <w:rPr>
                  <w:rFonts w:ascii="Cambria Math" w:hAnsi="Cambria Math"/>
                </w:rPr>
                <m:t>β</m:t>
              </m:r>
            </m:e>
            <m:sub>
              <m:r>
                <w:rPr>
                  <w:rFonts w:ascii="Cambria Math" w:hAnsi="Cambria Math"/>
                </w:rPr>
                <m:t>9</m:t>
              </m:r>
            </m:sub>
          </m:sSub>
          <m:r>
            <w:rPr>
              <w:rFonts w:ascii="Cambria Math" w:hAnsi="Cambria Math"/>
            </w:rPr>
            <m:t>Punjabi speaker+</m:t>
          </m:r>
          <m:sSub>
            <m:sSubPr>
              <m:ctrlPr>
                <w:rPr>
                  <w:rFonts w:ascii="Cambria Math" w:hAnsi="Cambria Math"/>
                  <w:i/>
                </w:rPr>
              </m:ctrlPr>
            </m:sSubPr>
            <m:e>
              <m:r>
                <w:rPr>
                  <w:rFonts w:ascii="Cambria Math" w:hAnsi="Cambria Math"/>
                </w:rPr>
                <m:t>β</m:t>
              </m:r>
            </m:e>
            <m:sub>
              <m:r>
                <w:rPr>
                  <w:rFonts w:ascii="Cambria Math" w:hAnsi="Cambria Math"/>
                </w:rPr>
                <m:t>10</m:t>
              </m:r>
            </m:sub>
          </m:sSub>
          <m:r>
            <w:rPr>
              <w:rFonts w:ascii="Cambria Math" w:hAnsi="Cambria Math"/>
            </w:rPr>
            <m:t xml:space="preserve">India peace+ </m:t>
          </m:r>
          <m:sSub>
            <m:sSubPr>
              <m:ctrlPr>
                <w:rPr>
                  <w:rFonts w:ascii="Cambria Math" w:hAnsi="Cambria Math"/>
                  <w:i/>
                </w:rPr>
              </m:ctrlPr>
            </m:sSubPr>
            <m:e>
              <m:r>
                <w:rPr>
                  <w:rFonts w:ascii="Cambria Math" w:hAnsi="Cambria Math"/>
                </w:rPr>
                <m:t>β</m:t>
              </m:r>
            </m:e>
            <m:sub>
              <m:r>
                <w:rPr>
                  <w:rFonts w:ascii="Cambria Math" w:hAnsi="Cambria Math"/>
                </w:rPr>
                <m:t>11</m:t>
              </m:r>
            </m:sub>
          </m:sSub>
          <m:r>
            <w:rPr>
              <w:rFonts w:ascii="Cambria Math" w:hAnsi="Cambria Math"/>
            </w:rPr>
            <m:t>Prefer democracy+ε</m:t>
          </m:r>
        </m:oMath>
      </m:oMathPara>
    </w:p>
    <w:p w14:paraId="7164C179" w14:textId="77777777" w:rsidR="005B3C66" w:rsidRPr="00B21078" w:rsidRDefault="005B3C66" w:rsidP="005B3C66">
      <w:pPr>
        <w:rPr>
          <w:rFonts w:ascii="Garamond" w:hAnsi="Garamond"/>
        </w:rPr>
      </w:pPr>
    </w:p>
    <w:p w14:paraId="415F2EE6" w14:textId="77777777" w:rsidR="005B3C66" w:rsidRDefault="005B3C66" w:rsidP="005B3C66">
      <w:pPr>
        <w:rPr>
          <w:rFonts w:ascii="Garamond" w:hAnsi="Garamond"/>
        </w:rPr>
      </w:pPr>
      <w:r w:rsidRPr="00B21078">
        <w:rPr>
          <w:rFonts w:ascii="Garamond" w:hAnsi="Garamond"/>
        </w:rPr>
        <w:t>The test for joint orthogonality for the model as a whole fails to reject the null (p=0.78) and Wald tests for each individual covariate fails to rejects the null at conventional levels of significance for all covariates.</w:t>
      </w:r>
      <w:r>
        <w:rPr>
          <w:rStyle w:val="FootnoteReference"/>
          <w:rFonts w:ascii="Garamond" w:hAnsi="Garamond"/>
        </w:rPr>
        <w:footnoteReference w:id="11"/>
      </w:r>
      <w:r w:rsidRPr="00B21078">
        <w:rPr>
          <w:rFonts w:ascii="Garamond" w:hAnsi="Garamond"/>
        </w:rPr>
        <w:t xml:space="preserve"> This further contributes to our confidence that randomization succeeded in achieving balance on covariates. </w:t>
      </w:r>
    </w:p>
    <w:p w14:paraId="7B9715C7" w14:textId="77777777" w:rsidR="005B3C66" w:rsidRDefault="005B3C66" w:rsidP="005B3C66">
      <w:pPr>
        <w:rPr>
          <w:rFonts w:ascii="Garamond" w:hAnsi="Garamond"/>
        </w:rPr>
      </w:pPr>
      <w:r>
        <w:rPr>
          <w:rFonts w:ascii="Garamond" w:hAnsi="Garamond"/>
        </w:rPr>
        <w:br w:type="page"/>
      </w:r>
    </w:p>
    <w:p w14:paraId="6E2B6688" w14:textId="77777777" w:rsidR="005B3C66" w:rsidRDefault="005B3C66" w:rsidP="005B3C66">
      <w:pPr>
        <w:rPr>
          <w:rFonts w:ascii="Garamond" w:hAnsi="Garamond"/>
          <w:b/>
        </w:rPr>
      </w:pPr>
      <w:r>
        <w:rPr>
          <w:rFonts w:ascii="Garamond" w:hAnsi="Garamond"/>
          <w:b/>
        </w:rPr>
        <w:lastRenderedPageBreak/>
        <w:t>A3. Robustness Checks and Coefficient Comparisons</w:t>
      </w:r>
    </w:p>
    <w:p w14:paraId="12095756" w14:textId="77777777" w:rsidR="005B3C66" w:rsidRDefault="005B3C66" w:rsidP="005B3C66">
      <w:pPr>
        <w:rPr>
          <w:rFonts w:ascii="Garamond" w:hAnsi="Garamond"/>
          <w:b/>
        </w:rPr>
      </w:pPr>
    </w:p>
    <w:p w14:paraId="0B682F53" w14:textId="77777777" w:rsidR="005B3C66" w:rsidRPr="00F70131" w:rsidRDefault="005B3C66" w:rsidP="005B3C66">
      <w:pPr>
        <w:jc w:val="center"/>
        <w:rPr>
          <w:rFonts w:ascii="Garamond" w:hAnsi="Garamond"/>
          <w:b/>
        </w:rPr>
      </w:pPr>
      <w:r>
        <w:rPr>
          <w:rFonts w:ascii="Garamond" w:hAnsi="Garamond"/>
          <w:b/>
        </w:rPr>
        <w:t>Table 1</w:t>
      </w:r>
      <w:r w:rsidRPr="00F70131">
        <w:rPr>
          <w:rFonts w:ascii="Garamond" w:hAnsi="Garamond"/>
          <w:b/>
        </w:rPr>
        <w:t xml:space="preserve">: Coefficient Estimates for Treatment Effects with </w:t>
      </w:r>
    </w:p>
    <w:p w14:paraId="36EC35A8" w14:textId="77777777" w:rsidR="005B3C66" w:rsidRPr="00F70131" w:rsidRDefault="005B3C66" w:rsidP="005B3C66">
      <w:pPr>
        <w:jc w:val="center"/>
        <w:rPr>
          <w:rFonts w:ascii="Garamond" w:hAnsi="Garamond"/>
          <w:b/>
        </w:rPr>
      </w:pPr>
      <w:r w:rsidRPr="00F70131">
        <w:rPr>
          <w:rFonts w:ascii="Garamond" w:hAnsi="Garamond"/>
          <w:b/>
        </w:rPr>
        <w:t>Different Estimators and/or Dependent Variables</w:t>
      </w:r>
    </w:p>
    <w:tbl>
      <w:tblPr>
        <w:tblW w:w="0" w:type="auto"/>
        <w:jc w:val="center"/>
        <w:tblLayout w:type="fixed"/>
        <w:tblCellMar>
          <w:left w:w="75" w:type="dxa"/>
          <w:right w:w="75" w:type="dxa"/>
        </w:tblCellMar>
        <w:tblLook w:val="0000" w:firstRow="0" w:lastRow="0" w:firstColumn="0" w:lastColumn="0" w:noHBand="0" w:noVBand="0"/>
      </w:tblPr>
      <w:tblGrid>
        <w:gridCol w:w="3457"/>
        <w:gridCol w:w="1296"/>
        <w:gridCol w:w="1440"/>
        <w:gridCol w:w="1440"/>
        <w:gridCol w:w="1296"/>
      </w:tblGrid>
      <w:tr w:rsidR="005B3C66" w:rsidRPr="00011803" w14:paraId="62DE6BF5" w14:textId="77777777" w:rsidTr="00064D36">
        <w:trPr>
          <w:jc w:val="center"/>
        </w:trPr>
        <w:tc>
          <w:tcPr>
            <w:tcW w:w="3457" w:type="dxa"/>
            <w:tcBorders>
              <w:top w:val="single" w:sz="6" w:space="0" w:color="auto"/>
              <w:left w:val="nil"/>
              <w:bottom w:val="nil"/>
              <w:right w:val="nil"/>
            </w:tcBorders>
          </w:tcPr>
          <w:p w14:paraId="1ED331D8" w14:textId="77777777" w:rsidR="005B3C66" w:rsidRPr="00011803" w:rsidRDefault="005B3C66" w:rsidP="00064D36">
            <w:pPr>
              <w:widowControl w:val="0"/>
              <w:autoSpaceDE w:val="0"/>
              <w:autoSpaceDN w:val="0"/>
              <w:adjustRightInd w:val="0"/>
              <w:rPr>
                <w:rFonts w:ascii="Garamond" w:hAnsi="Garamond" w:cs="Times New Roman"/>
              </w:rPr>
            </w:pPr>
          </w:p>
        </w:tc>
        <w:tc>
          <w:tcPr>
            <w:tcW w:w="1296" w:type="dxa"/>
            <w:tcBorders>
              <w:top w:val="single" w:sz="6" w:space="0" w:color="auto"/>
              <w:left w:val="nil"/>
              <w:bottom w:val="nil"/>
              <w:right w:val="nil"/>
            </w:tcBorders>
          </w:tcPr>
          <w:p w14:paraId="272BEDB5"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(1)</w:t>
            </w:r>
          </w:p>
        </w:tc>
        <w:tc>
          <w:tcPr>
            <w:tcW w:w="1440" w:type="dxa"/>
            <w:tcBorders>
              <w:top w:val="single" w:sz="6" w:space="0" w:color="auto"/>
              <w:left w:val="nil"/>
              <w:bottom w:val="nil"/>
              <w:right w:val="nil"/>
            </w:tcBorders>
          </w:tcPr>
          <w:p w14:paraId="5B4B021B"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(2)</w:t>
            </w:r>
          </w:p>
        </w:tc>
        <w:tc>
          <w:tcPr>
            <w:tcW w:w="1440" w:type="dxa"/>
            <w:tcBorders>
              <w:top w:val="single" w:sz="6" w:space="0" w:color="auto"/>
              <w:left w:val="nil"/>
              <w:bottom w:val="nil"/>
              <w:right w:val="nil"/>
            </w:tcBorders>
          </w:tcPr>
          <w:p w14:paraId="679CBF57"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(3)</w:t>
            </w:r>
          </w:p>
        </w:tc>
        <w:tc>
          <w:tcPr>
            <w:tcW w:w="1296" w:type="dxa"/>
            <w:tcBorders>
              <w:top w:val="single" w:sz="6" w:space="0" w:color="auto"/>
              <w:left w:val="nil"/>
              <w:bottom w:val="nil"/>
              <w:right w:val="nil"/>
            </w:tcBorders>
          </w:tcPr>
          <w:p w14:paraId="03655E47"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(4)</w:t>
            </w:r>
          </w:p>
        </w:tc>
      </w:tr>
      <w:tr w:rsidR="005B3C66" w:rsidRPr="00011803" w14:paraId="526E7871" w14:textId="77777777" w:rsidTr="00064D36">
        <w:trPr>
          <w:jc w:val="center"/>
        </w:trPr>
        <w:tc>
          <w:tcPr>
            <w:tcW w:w="3457" w:type="dxa"/>
            <w:tcBorders>
              <w:top w:val="nil"/>
              <w:left w:val="nil"/>
              <w:bottom w:val="single" w:sz="6" w:space="0" w:color="auto"/>
              <w:right w:val="nil"/>
            </w:tcBorders>
          </w:tcPr>
          <w:p w14:paraId="09E08F9E" w14:textId="77777777" w:rsidR="005B3C66" w:rsidRPr="00011803" w:rsidRDefault="005B3C66" w:rsidP="00064D36">
            <w:pPr>
              <w:widowControl w:val="0"/>
              <w:autoSpaceDE w:val="0"/>
              <w:autoSpaceDN w:val="0"/>
              <w:adjustRightInd w:val="0"/>
              <w:rPr>
                <w:rFonts w:ascii="Garamond" w:hAnsi="Garamond" w:cs="Times New Roman"/>
              </w:rPr>
            </w:pPr>
            <w:r w:rsidRPr="00011803">
              <w:rPr>
                <w:rFonts w:ascii="Garamond" w:hAnsi="Garamond" w:cs="Times New Roman"/>
              </w:rPr>
              <w:t>VARIABLES</w:t>
            </w:r>
          </w:p>
        </w:tc>
        <w:tc>
          <w:tcPr>
            <w:tcW w:w="1296" w:type="dxa"/>
            <w:tcBorders>
              <w:top w:val="nil"/>
              <w:left w:val="nil"/>
              <w:bottom w:val="single" w:sz="6" w:space="0" w:color="auto"/>
              <w:right w:val="nil"/>
            </w:tcBorders>
          </w:tcPr>
          <w:p w14:paraId="06F24C4F"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Dummy</w:t>
            </w:r>
            <w:r w:rsidRPr="00011803">
              <w:rPr>
                <w:rFonts w:ascii="Garamond" w:hAnsi="Garamond" w:cs="Times New Roman"/>
              </w:rPr>
              <w:br/>
              <w:t>Support DV</w:t>
            </w:r>
          </w:p>
          <w:p w14:paraId="1866371D"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(LPM)</w:t>
            </w:r>
          </w:p>
        </w:tc>
        <w:tc>
          <w:tcPr>
            <w:tcW w:w="1440" w:type="dxa"/>
            <w:tcBorders>
              <w:top w:val="nil"/>
              <w:left w:val="nil"/>
              <w:bottom w:val="single" w:sz="6" w:space="0" w:color="auto"/>
              <w:right w:val="nil"/>
            </w:tcBorders>
          </w:tcPr>
          <w:p w14:paraId="245D00CB"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Dummy</w:t>
            </w:r>
          </w:p>
          <w:p w14:paraId="1EF43A80"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Support</w:t>
            </w:r>
          </w:p>
          <w:p w14:paraId="1A74F04F"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DV</w:t>
            </w:r>
          </w:p>
          <w:p w14:paraId="1333B5D5"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(Logit)</w:t>
            </w:r>
          </w:p>
        </w:tc>
        <w:tc>
          <w:tcPr>
            <w:tcW w:w="1440" w:type="dxa"/>
            <w:tcBorders>
              <w:top w:val="nil"/>
              <w:left w:val="nil"/>
              <w:bottom w:val="single" w:sz="6" w:space="0" w:color="auto"/>
              <w:right w:val="nil"/>
            </w:tcBorders>
          </w:tcPr>
          <w:p w14:paraId="41D36985"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Dummy</w:t>
            </w:r>
          </w:p>
          <w:p w14:paraId="6683F58C"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Support</w:t>
            </w:r>
          </w:p>
          <w:p w14:paraId="6F6FDAB7"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DV</w:t>
            </w:r>
          </w:p>
          <w:p w14:paraId="31269D09"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(Probit)</w:t>
            </w:r>
          </w:p>
        </w:tc>
        <w:tc>
          <w:tcPr>
            <w:tcW w:w="1296" w:type="dxa"/>
            <w:tcBorders>
              <w:top w:val="nil"/>
              <w:left w:val="nil"/>
              <w:bottom w:val="single" w:sz="6" w:space="0" w:color="auto"/>
              <w:right w:val="nil"/>
            </w:tcBorders>
          </w:tcPr>
          <w:p w14:paraId="3163342B"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7-Point</w:t>
            </w:r>
          </w:p>
          <w:p w14:paraId="45D51D8D"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Likert</w:t>
            </w:r>
          </w:p>
          <w:p w14:paraId="1BDB9273"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DV</w:t>
            </w:r>
          </w:p>
          <w:p w14:paraId="518E12A7"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(LPM)</w:t>
            </w:r>
          </w:p>
        </w:tc>
      </w:tr>
      <w:tr w:rsidR="005B3C66" w:rsidRPr="00011803" w14:paraId="4D14BBB0" w14:textId="77777777" w:rsidTr="00064D36">
        <w:trPr>
          <w:jc w:val="center"/>
        </w:trPr>
        <w:tc>
          <w:tcPr>
            <w:tcW w:w="3457" w:type="dxa"/>
            <w:tcBorders>
              <w:top w:val="nil"/>
              <w:left w:val="nil"/>
              <w:bottom w:val="nil"/>
              <w:right w:val="nil"/>
            </w:tcBorders>
          </w:tcPr>
          <w:p w14:paraId="730F76D7" w14:textId="77777777" w:rsidR="005B3C66" w:rsidRPr="00011803" w:rsidRDefault="005B3C66" w:rsidP="00064D36">
            <w:pPr>
              <w:widowControl w:val="0"/>
              <w:autoSpaceDE w:val="0"/>
              <w:autoSpaceDN w:val="0"/>
              <w:adjustRightInd w:val="0"/>
              <w:rPr>
                <w:rFonts w:ascii="Garamond" w:hAnsi="Garamond" w:cs="Times New Roman"/>
              </w:rPr>
            </w:pPr>
          </w:p>
        </w:tc>
        <w:tc>
          <w:tcPr>
            <w:tcW w:w="1296" w:type="dxa"/>
            <w:tcBorders>
              <w:top w:val="nil"/>
              <w:left w:val="nil"/>
              <w:bottom w:val="nil"/>
              <w:right w:val="nil"/>
            </w:tcBorders>
          </w:tcPr>
          <w:p w14:paraId="334F169C" w14:textId="77777777" w:rsidR="005B3C66" w:rsidRPr="00011803" w:rsidRDefault="005B3C66" w:rsidP="00064D36">
            <w:pPr>
              <w:widowControl w:val="0"/>
              <w:autoSpaceDE w:val="0"/>
              <w:autoSpaceDN w:val="0"/>
              <w:adjustRightInd w:val="0"/>
              <w:jc w:val="center"/>
              <w:rPr>
                <w:rFonts w:ascii="Garamond" w:hAnsi="Garamond" w:cs="Times New Roman"/>
              </w:rPr>
            </w:pPr>
          </w:p>
        </w:tc>
        <w:tc>
          <w:tcPr>
            <w:tcW w:w="1440" w:type="dxa"/>
            <w:tcBorders>
              <w:top w:val="nil"/>
              <w:left w:val="nil"/>
              <w:bottom w:val="nil"/>
              <w:right w:val="nil"/>
            </w:tcBorders>
          </w:tcPr>
          <w:p w14:paraId="7C2325ED" w14:textId="77777777" w:rsidR="005B3C66" w:rsidRPr="00011803" w:rsidRDefault="005B3C66" w:rsidP="00064D36">
            <w:pPr>
              <w:widowControl w:val="0"/>
              <w:autoSpaceDE w:val="0"/>
              <w:autoSpaceDN w:val="0"/>
              <w:adjustRightInd w:val="0"/>
              <w:jc w:val="center"/>
              <w:rPr>
                <w:rFonts w:ascii="Garamond" w:hAnsi="Garamond" w:cs="Times New Roman"/>
              </w:rPr>
            </w:pPr>
          </w:p>
        </w:tc>
        <w:tc>
          <w:tcPr>
            <w:tcW w:w="1440" w:type="dxa"/>
            <w:tcBorders>
              <w:top w:val="nil"/>
              <w:left w:val="nil"/>
              <w:bottom w:val="nil"/>
              <w:right w:val="nil"/>
            </w:tcBorders>
          </w:tcPr>
          <w:p w14:paraId="6B72EB55" w14:textId="77777777" w:rsidR="005B3C66" w:rsidRPr="00011803" w:rsidRDefault="005B3C66" w:rsidP="00064D36">
            <w:pPr>
              <w:widowControl w:val="0"/>
              <w:autoSpaceDE w:val="0"/>
              <w:autoSpaceDN w:val="0"/>
              <w:adjustRightInd w:val="0"/>
              <w:jc w:val="center"/>
              <w:rPr>
                <w:rFonts w:ascii="Garamond" w:hAnsi="Garamond" w:cs="Times New Roman"/>
              </w:rPr>
            </w:pPr>
          </w:p>
        </w:tc>
        <w:tc>
          <w:tcPr>
            <w:tcW w:w="1296" w:type="dxa"/>
            <w:tcBorders>
              <w:top w:val="nil"/>
              <w:left w:val="nil"/>
              <w:bottom w:val="nil"/>
              <w:right w:val="nil"/>
            </w:tcBorders>
          </w:tcPr>
          <w:p w14:paraId="32BB0DFF" w14:textId="77777777" w:rsidR="005B3C66" w:rsidRPr="00011803" w:rsidRDefault="005B3C66" w:rsidP="00064D36">
            <w:pPr>
              <w:widowControl w:val="0"/>
              <w:autoSpaceDE w:val="0"/>
              <w:autoSpaceDN w:val="0"/>
              <w:adjustRightInd w:val="0"/>
              <w:jc w:val="center"/>
              <w:rPr>
                <w:rFonts w:ascii="Garamond" w:hAnsi="Garamond" w:cs="Times New Roman"/>
              </w:rPr>
            </w:pPr>
          </w:p>
        </w:tc>
      </w:tr>
      <w:tr w:rsidR="005B3C66" w:rsidRPr="00011803" w14:paraId="0408989D" w14:textId="77777777" w:rsidTr="00064D36">
        <w:trPr>
          <w:jc w:val="center"/>
        </w:trPr>
        <w:tc>
          <w:tcPr>
            <w:tcW w:w="3457" w:type="dxa"/>
            <w:tcBorders>
              <w:top w:val="nil"/>
              <w:left w:val="nil"/>
              <w:bottom w:val="nil"/>
              <w:right w:val="nil"/>
            </w:tcBorders>
          </w:tcPr>
          <w:p w14:paraId="2F7136CA" w14:textId="77777777" w:rsidR="005B3C66" w:rsidRPr="00011803" w:rsidRDefault="005B3C66" w:rsidP="00064D36">
            <w:pPr>
              <w:widowControl w:val="0"/>
              <w:autoSpaceDE w:val="0"/>
              <w:autoSpaceDN w:val="0"/>
              <w:adjustRightInd w:val="0"/>
              <w:rPr>
                <w:rFonts w:ascii="Garamond" w:hAnsi="Garamond" w:cs="Times New Roman"/>
              </w:rPr>
            </w:pPr>
            <w:r w:rsidRPr="00011803">
              <w:rPr>
                <w:rFonts w:ascii="Garamond" w:hAnsi="Garamond" w:cs="Times New Roman"/>
              </w:rPr>
              <w:t>Treatment 2</w:t>
            </w:r>
          </w:p>
        </w:tc>
        <w:tc>
          <w:tcPr>
            <w:tcW w:w="1296" w:type="dxa"/>
            <w:tcBorders>
              <w:top w:val="nil"/>
              <w:left w:val="nil"/>
              <w:bottom w:val="nil"/>
              <w:right w:val="nil"/>
            </w:tcBorders>
          </w:tcPr>
          <w:p w14:paraId="254FB3C8"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0.0557</w:t>
            </w:r>
          </w:p>
        </w:tc>
        <w:tc>
          <w:tcPr>
            <w:tcW w:w="1440" w:type="dxa"/>
            <w:tcBorders>
              <w:top w:val="nil"/>
              <w:left w:val="nil"/>
              <w:bottom w:val="nil"/>
              <w:right w:val="nil"/>
            </w:tcBorders>
          </w:tcPr>
          <w:p w14:paraId="7DB0D5AC"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0.228</w:t>
            </w:r>
          </w:p>
        </w:tc>
        <w:tc>
          <w:tcPr>
            <w:tcW w:w="1440" w:type="dxa"/>
            <w:tcBorders>
              <w:top w:val="nil"/>
              <w:left w:val="nil"/>
              <w:bottom w:val="nil"/>
              <w:right w:val="nil"/>
            </w:tcBorders>
          </w:tcPr>
          <w:p w14:paraId="04021568"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0.142</w:t>
            </w:r>
          </w:p>
        </w:tc>
        <w:tc>
          <w:tcPr>
            <w:tcW w:w="1296" w:type="dxa"/>
            <w:tcBorders>
              <w:top w:val="nil"/>
              <w:left w:val="nil"/>
              <w:bottom w:val="nil"/>
              <w:right w:val="nil"/>
            </w:tcBorders>
          </w:tcPr>
          <w:p w14:paraId="5EFBFC3D"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0.253</w:t>
            </w:r>
          </w:p>
        </w:tc>
      </w:tr>
      <w:tr w:rsidR="005B3C66" w:rsidRPr="00011803" w14:paraId="7E2A3768" w14:textId="77777777" w:rsidTr="00064D36">
        <w:trPr>
          <w:jc w:val="center"/>
        </w:trPr>
        <w:tc>
          <w:tcPr>
            <w:tcW w:w="3457" w:type="dxa"/>
            <w:tcBorders>
              <w:top w:val="nil"/>
              <w:left w:val="nil"/>
              <w:bottom w:val="nil"/>
              <w:right w:val="nil"/>
            </w:tcBorders>
          </w:tcPr>
          <w:p w14:paraId="58D37A74" w14:textId="77777777" w:rsidR="005B3C66" w:rsidRPr="00011803" w:rsidRDefault="005B3C66" w:rsidP="00064D36">
            <w:pPr>
              <w:widowControl w:val="0"/>
              <w:autoSpaceDE w:val="0"/>
              <w:autoSpaceDN w:val="0"/>
              <w:adjustRightInd w:val="0"/>
              <w:rPr>
                <w:rFonts w:ascii="Garamond" w:hAnsi="Garamond" w:cs="Times New Roman"/>
              </w:rPr>
            </w:pPr>
            <w:r w:rsidRPr="00011803">
              <w:rPr>
                <w:rFonts w:ascii="Garamond" w:hAnsi="Garamond" w:cs="Times New Roman"/>
              </w:rPr>
              <w:t>(COAS De-esc.)</w:t>
            </w:r>
          </w:p>
        </w:tc>
        <w:tc>
          <w:tcPr>
            <w:tcW w:w="1296" w:type="dxa"/>
            <w:tcBorders>
              <w:top w:val="nil"/>
              <w:left w:val="nil"/>
              <w:bottom w:val="nil"/>
              <w:right w:val="nil"/>
            </w:tcBorders>
          </w:tcPr>
          <w:p w14:paraId="440D8F8E"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(0.0389)</w:t>
            </w:r>
          </w:p>
        </w:tc>
        <w:tc>
          <w:tcPr>
            <w:tcW w:w="1440" w:type="dxa"/>
            <w:tcBorders>
              <w:top w:val="nil"/>
              <w:left w:val="nil"/>
              <w:bottom w:val="nil"/>
              <w:right w:val="nil"/>
            </w:tcBorders>
          </w:tcPr>
          <w:p w14:paraId="57490523"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(0.163)</w:t>
            </w:r>
          </w:p>
        </w:tc>
        <w:tc>
          <w:tcPr>
            <w:tcW w:w="1440" w:type="dxa"/>
            <w:tcBorders>
              <w:top w:val="nil"/>
              <w:left w:val="nil"/>
              <w:bottom w:val="nil"/>
              <w:right w:val="nil"/>
            </w:tcBorders>
          </w:tcPr>
          <w:p w14:paraId="275705A7"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(0.102)</w:t>
            </w:r>
          </w:p>
        </w:tc>
        <w:tc>
          <w:tcPr>
            <w:tcW w:w="1296" w:type="dxa"/>
            <w:tcBorders>
              <w:top w:val="nil"/>
              <w:left w:val="nil"/>
              <w:bottom w:val="nil"/>
              <w:right w:val="nil"/>
            </w:tcBorders>
          </w:tcPr>
          <w:p w14:paraId="5080ADC3"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(0.157)</w:t>
            </w:r>
          </w:p>
          <w:p w14:paraId="7396E05D" w14:textId="77777777" w:rsidR="005B3C66" w:rsidRPr="00011803" w:rsidRDefault="005B3C66" w:rsidP="00064D36">
            <w:pPr>
              <w:widowControl w:val="0"/>
              <w:autoSpaceDE w:val="0"/>
              <w:autoSpaceDN w:val="0"/>
              <w:adjustRightInd w:val="0"/>
              <w:jc w:val="center"/>
              <w:rPr>
                <w:rFonts w:ascii="Garamond" w:hAnsi="Garamond" w:cs="Times New Roman"/>
              </w:rPr>
            </w:pPr>
          </w:p>
        </w:tc>
      </w:tr>
      <w:tr w:rsidR="005B3C66" w:rsidRPr="00011803" w14:paraId="0261235A" w14:textId="77777777" w:rsidTr="00064D36">
        <w:trPr>
          <w:jc w:val="center"/>
        </w:trPr>
        <w:tc>
          <w:tcPr>
            <w:tcW w:w="3457" w:type="dxa"/>
            <w:tcBorders>
              <w:top w:val="nil"/>
              <w:left w:val="nil"/>
              <w:bottom w:val="nil"/>
              <w:right w:val="nil"/>
            </w:tcBorders>
          </w:tcPr>
          <w:p w14:paraId="349C9914" w14:textId="77777777" w:rsidR="005B3C66" w:rsidRPr="00011803" w:rsidRDefault="005B3C66" w:rsidP="00064D36">
            <w:pPr>
              <w:widowControl w:val="0"/>
              <w:autoSpaceDE w:val="0"/>
              <w:autoSpaceDN w:val="0"/>
              <w:adjustRightInd w:val="0"/>
              <w:rPr>
                <w:rFonts w:ascii="Garamond" w:hAnsi="Garamond" w:cs="Times New Roman"/>
              </w:rPr>
            </w:pPr>
            <w:r w:rsidRPr="00011803">
              <w:rPr>
                <w:rFonts w:ascii="Garamond" w:hAnsi="Garamond" w:cs="Times New Roman"/>
              </w:rPr>
              <w:t>Treatment 3</w:t>
            </w:r>
          </w:p>
        </w:tc>
        <w:tc>
          <w:tcPr>
            <w:tcW w:w="1296" w:type="dxa"/>
            <w:tcBorders>
              <w:top w:val="nil"/>
              <w:left w:val="nil"/>
              <w:bottom w:val="nil"/>
              <w:right w:val="nil"/>
            </w:tcBorders>
          </w:tcPr>
          <w:p w14:paraId="76A95753"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0.120***</w:t>
            </w:r>
          </w:p>
        </w:tc>
        <w:tc>
          <w:tcPr>
            <w:tcW w:w="1440" w:type="dxa"/>
            <w:tcBorders>
              <w:top w:val="nil"/>
              <w:left w:val="nil"/>
              <w:bottom w:val="nil"/>
              <w:right w:val="nil"/>
            </w:tcBorders>
          </w:tcPr>
          <w:p w14:paraId="5987FACB"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0.487***</w:t>
            </w:r>
          </w:p>
        </w:tc>
        <w:tc>
          <w:tcPr>
            <w:tcW w:w="1440" w:type="dxa"/>
            <w:tcBorders>
              <w:top w:val="nil"/>
              <w:left w:val="nil"/>
              <w:bottom w:val="nil"/>
              <w:right w:val="nil"/>
            </w:tcBorders>
          </w:tcPr>
          <w:p w14:paraId="50AD3076"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0.304***</w:t>
            </w:r>
          </w:p>
        </w:tc>
        <w:tc>
          <w:tcPr>
            <w:tcW w:w="1296" w:type="dxa"/>
            <w:tcBorders>
              <w:top w:val="nil"/>
              <w:left w:val="nil"/>
              <w:bottom w:val="nil"/>
              <w:right w:val="nil"/>
            </w:tcBorders>
          </w:tcPr>
          <w:p w14:paraId="1F28FC3B"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0.440***</w:t>
            </w:r>
          </w:p>
        </w:tc>
      </w:tr>
      <w:tr w:rsidR="005B3C66" w:rsidRPr="00011803" w14:paraId="66855D09" w14:textId="77777777" w:rsidTr="00064D36">
        <w:trPr>
          <w:jc w:val="center"/>
        </w:trPr>
        <w:tc>
          <w:tcPr>
            <w:tcW w:w="3457" w:type="dxa"/>
            <w:tcBorders>
              <w:top w:val="nil"/>
              <w:left w:val="nil"/>
              <w:bottom w:val="nil"/>
              <w:right w:val="nil"/>
            </w:tcBorders>
          </w:tcPr>
          <w:p w14:paraId="6395E4D9" w14:textId="77777777" w:rsidR="005B3C66" w:rsidRPr="00011803" w:rsidRDefault="005B3C66" w:rsidP="00064D36">
            <w:pPr>
              <w:widowControl w:val="0"/>
              <w:autoSpaceDE w:val="0"/>
              <w:autoSpaceDN w:val="0"/>
              <w:adjustRightInd w:val="0"/>
              <w:rPr>
                <w:rFonts w:ascii="Garamond" w:hAnsi="Garamond" w:cs="Times New Roman"/>
              </w:rPr>
            </w:pPr>
            <w:r w:rsidRPr="00011803">
              <w:rPr>
                <w:rFonts w:ascii="Garamond" w:hAnsi="Garamond" w:cs="Times New Roman"/>
              </w:rPr>
              <w:t>(PM De-escalate [Econ.])</w:t>
            </w:r>
          </w:p>
        </w:tc>
        <w:tc>
          <w:tcPr>
            <w:tcW w:w="1296" w:type="dxa"/>
            <w:tcBorders>
              <w:top w:val="nil"/>
              <w:left w:val="nil"/>
              <w:bottom w:val="nil"/>
              <w:right w:val="nil"/>
            </w:tcBorders>
          </w:tcPr>
          <w:p w14:paraId="087938AC"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(0.0408)</w:t>
            </w:r>
          </w:p>
        </w:tc>
        <w:tc>
          <w:tcPr>
            <w:tcW w:w="1440" w:type="dxa"/>
            <w:tcBorders>
              <w:top w:val="nil"/>
              <w:left w:val="nil"/>
              <w:bottom w:val="nil"/>
              <w:right w:val="nil"/>
            </w:tcBorders>
          </w:tcPr>
          <w:p w14:paraId="2D7FCED1"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(0.170)</w:t>
            </w:r>
          </w:p>
        </w:tc>
        <w:tc>
          <w:tcPr>
            <w:tcW w:w="1440" w:type="dxa"/>
            <w:tcBorders>
              <w:top w:val="nil"/>
              <w:left w:val="nil"/>
              <w:bottom w:val="nil"/>
              <w:right w:val="nil"/>
            </w:tcBorders>
          </w:tcPr>
          <w:p w14:paraId="1B2DE179"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(0.106)</w:t>
            </w:r>
          </w:p>
        </w:tc>
        <w:tc>
          <w:tcPr>
            <w:tcW w:w="1296" w:type="dxa"/>
            <w:tcBorders>
              <w:top w:val="nil"/>
              <w:left w:val="nil"/>
              <w:bottom w:val="nil"/>
              <w:right w:val="nil"/>
            </w:tcBorders>
          </w:tcPr>
          <w:p w14:paraId="4A2FA59D"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(0.165)</w:t>
            </w:r>
          </w:p>
          <w:p w14:paraId="20F15CE4" w14:textId="77777777" w:rsidR="005B3C66" w:rsidRPr="00011803" w:rsidRDefault="005B3C66" w:rsidP="00064D36">
            <w:pPr>
              <w:widowControl w:val="0"/>
              <w:autoSpaceDE w:val="0"/>
              <w:autoSpaceDN w:val="0"/>
              <w:adjustRightInd w:val="0"/>
              <w:jc w:val="center"/>
              <w:rPr>
                <w:rFonts w:ascii="Garamond" w:hAnsi="Garamond" w:cs="Times New Roman"/>
              </w:rPr>
            </w:pPr>
          </w:p>
        </w:tc>
      </w:tr>
      <w:tr w:rsidR="005B3C66" w:rsidRPr="00011803" w14:paraId="70005079" w14:textId="77777777" w:rsidTr="00064D36">
        <w:trPr>
          <w:jc w:val="center"/>
        </w:trPr>
        <w:tc>
          <w:tcPr>
            <w:tcW w:w="3457" w:type="dxa"/>
            <w:tcBorders>
              <w:top w:val="nil"/>
              <w:left w:val="nil"/>
              <w:bottom w:val="nil"/>
              <w:right w:val="nil"/>
            </w:tcBorders>
          </w:tcPr>
          <w:p w14:paraId="254F03AE" w14:textId="77777777" w:rsidR="005B3C66" w:rsidRPr="00011803" w:rsidRDefault="005B3C66" w:rsidP="00064D36">
            <w:pPr>
              <w:widowControl w:val="0"/>
              <w:autoSpaceDE w:val="0"/>
              <w:autoSpaceDN w:val="0"/>
              <w:adjustRightInd w:val="0"/>
              <w:rPr>
                <w:rFonts w:ascii="Garamond" w:hAnsi="Garamond" w:cs="Times New Roman"/>
              </w:rPr>
            </w:pPr>
            <w:r w:rsidRPr="00011803">
              <w:rPr>
                <w:rFonts w:ascii="Garamond" w:hAnsi="Garamond" w:cs="Times New Roman"/>
              </w:rPr>
              <w:t>Treatment 4</w:t>
            </w:r>
          </w:p>
        </w:tc>
        <w:tc>
          <w:tcPr>
            <w:tcW w:w="1296" w:type="dxa"/>
            <w:tcBorders>
              <w:top w:val="nil"/>
              <w:left w:val="nil"/>
              <w:bottom w:val="nil"/>
              <w:right w:val="nil"/>
            </w:tcBorders>
          </w:tcPr>
          <w:p w14:paraId="634CE2C8"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0.0879**</w:t>
            </w:r>
          </w:p>
        </w:tc>
        <w:tc>
          <w:tcPr>
            <w:tcW w:w="1440" w:type="dxa"/>
            <w:tcBorders>
              <w:top w:val="nil"/>
              <w:left w:val="nil"/>
              <w:bottom w:val="nil"/>
              <w:right w:val="nil"/>
            </w:tcBorders>
          </w:tcPr>
          <w:p w14:paraId="17A4F1D1"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0.358**</w:t>
            </w:r>
          </w:p>
        </w:tc>
        <w:tc>
          <w:tcPr>
            <w:tcW w:w="1440" w:type="dxa"/>
            <w:tcBorders>
              <w:top w:val="nil"/>
              <w:left w:val="nil"/>
              <w:bottom w:val="nil"/>
              <w:right w:val="nil"/>
            </w:tcBorders>
          </w:tcPr>
          <w:p w14:paraId="2DDDACA1"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0.223**</w:t>
            </w:r>
          </w:p>
        </w:tc>
        <w:tc>
          <w:tcPr>
            <w:tcW w:w="1296" w:type="dxa"/>
            <w:tcBorders>
              <w:top w:val="nil"/>
              <w:left w:val="nil"/>
              <w:bottom w:val="nil"/>
              <w:right w:val="nil"/>
            </w:tcBorders>
          </w:tcPr>
          <w:p w14:paraId="2C345DD4"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0.332**</w:t>
            </w:r>
          </w:p>
        </w:tc>
      </w:tr>
      <w:tr w:rsidR="005B3C66" w:rsidRPr="00011803" w14:paraId="46D56D52" w14:textId="77777777" w:rsidTr="00064D36">
        <w:trPr>
          <w:jc w:val="center"/>
        </w:trPr>
        <w:tc>
          <w:tcPr>
            <w:tcW w:w="3457" w:type="dxa"/>
            <w:tcBorders>
              <w:top w:val="nil"/>
              <w:left w:val="nil"/>
              <w:bottom w:val="nil"/>
              <w:right w:val="nil"/>
            </w:tcBorders>
          </w:tcPr>
          <w:p w14:paraId="571C3694" w14:textId="77777777" w:rsidR="005B3C66" w:rsidRPr="00011803" w:rsidRDefault="005B3C66" w:rsidP="00064D36">
            <w:pPr>
              <w:widowControl w:val="0"/>
              <w:autoSpaceDE w:val="0"/>
              <w:autoSpaceDN w:val="0"/>
              <w:adjustRightInd w:val="0"/>
              <w:rPr>
                <w:rFonts w:ascii="Garamond" w:hAnsi="Garamond" w:cs="Times New Roman"/>
              </w:rPr>
            </w:pPr>
            <w:r w:rsidRPr="00011803">
              <w:rPr>
                <w:rFonts w:ascii="Garamond" w:hAnsi="Garamond" w:cs="Times New Roman"/>
              </w:rPr>
              <w:t>(PM De-escalate [Nuclear])</w:t>
            </w:r>
          </w:p>
          <w:p w14:paraId="7066B915" w14:textId="77777777" w:rsidR="005B3C66" w:rsidRPr="00011803" w:rsidRDefault="005B3C66" w:rsidP="00064D36">
            <w:pPr>
              <w:widowControl w:val="0"/>
              <w:autoSpaceDE w:val="0"/>
              <w:autoSpaceDN w:val="0"/>
              <w:adjustRightInd w:val="0"/>
              <w:rPr>
                <w:rFonts w:ascii="Garamond" w:hAnsi="Garamond" w:cs="Times New Roman"/>
              </w:rPr>
            </w:pPr>
          </w:p>
        </w:tc>
        <w:tc>
          <w:tcPr>
            <w:tcW w:w="1296" w:type="dxa"/>
            <w:tcBorders>
              <w:top w:val="nil"/>
              <w:left w:val="nil"/>
              <w:bottom w:val="nil"/>
              <w:right w:val="nil"/>
            </w:tcBorders>
          </w:tcPr>
          <w:p w14:paraId="2FD75B5B"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(0.0400)</w:t>
            </w:r>
          </w:p>
        </w:tc>
        <w:tc>
          <w:tcPr>
            <w:tcW w:w="1440" w:type="dxa"/>
            <w:tcBorders>
              <w:top w:val="nil"/>
              <w:left w:val="nil"/>
              <w:bottom w:val="nil"/>
              <w:right w:val="nil"/>
            </w:tcBorders>
          </w:tcPr>
          <w:p w14:paraId="73D88E4B"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(0.167)</w:t>
            </w:r>
          </w:p>
        </w:tc>
        <w:tc>
          <w:tcPr>
            <w:tcW w:w="1440" w:type="dxa"/>
            <w:tcBorders>
              <w:top w:val="nil"/>
              <w:left w:val="nil"/>
              <w:bottom w:val="nil"/>
              <w:right w:val="nil"/>
            </w:tcBorders>
          </w:tcPr>
          <w:p w14:paraId="55D7C416"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(0.104)</w:t>
            </w:r>
          </w:p>
        </w:tc>
        <w:tc>
          <w:tcPr>
            <w:tcW w:w="1296" w:type="dxa"/>
            <w:tcBorders>
              <w:top w:val="nil"/>
              <w:left w:val="nil"/>
              <w:bottom w:val="nil"/>
              <w:right w:val="nil"/>
            </w:tcBorders>
          </w:tcPr>
          <w:p w14:paraId="518A6F1C"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(0.161)</w:t>
            </w:r>
          </w:p>
        </w:tc>
      </w:tr>
      <w:tr w:rsidR="005B3C66" w:rsidRPr="00011803" w14:paraId="08E61D0B" w14:textId="77777777" w:rsidTr="00064D36">
        <w:trPr>
          <w:jc w:val="center"/>
        </w:trPr>
        <w:tc>
          <w:tcPr>
            <w:tcW w:w="3457" w:type="dxa"/>
            <w:tcBorders>
              <w:top w:val="nil"/>
              <w:left w:val="nil"/>
              <w:bottom w:val="nil"/>
              <w:right w:val="nil"/>
            </w:tcBorders>
          </w:tcPr>
          <w:p w14:paraId="04CFCF10" w14:textId="77777777" w:rsidR="005B3C66" w:rsidRPr="00011803" w:rsidRDefault="005B3C66" w:rsidP="00064D36">
            <w:pPr>
              <w:widowControl w:val="0"/>
              <w:autoSpaceDE w:val="0"/>
              <w:autoSpaceDN w:val="0"/>
              <w:adjustRightInd w:val="0"/>
              <w:rPr>
                <w:rFonts w:ascii="Garamond" w:hAnsi="Garamond" w:cs="Times New Roman"/>
              </w:rPr>
            </w:pPr>
            <w:r>
              <w:rPr>
                <w:rFonts w:ascii="Garamond" w:hAnsi="Garamond" w:cs="Times New Roman"/>
              </w:rPr>
              <w:t>Treatment 5</w:t>
            </w:r>
          </w:p>
        </w:tc>
        <w:tc>
          <w:tcPr>
            <w:tcW w:w="1296" w:type="dxa"/>
            <w:tcBorders>
              <w:top w:val="nil"/>
              <w:left w:val="nil"/>
              <w:bottom w:val="nil"/>
              <w:right w:val="nil"/>
            </w:tcBorders>
          </w:tcPr>
          <w:p w14:paraId="33475E59"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0.247***</w:t>
            </w:r>
          </w:p>
        </w:tc>
        <w:tc>
          <w:tcPr>
            <w:tcW w:w="1440" w:type="dxa"/>
            <w:tcBorders>
              <w:top w:val="nil"/>
              <w:left w:val="nil"/>
              <w:bottom w:val="nil"/>
              <w:right w:val="nil"/>
            </w:tcBorders>
          </w:tcPr>
          <w:p w14:paraId="53FB4563"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1.012***</w:t>
            </w:r>
          </w:p>
        </w:tc>
        <w:tc>
          <w:tcPr>
            <w:tcW w:w="1440" w:type="dxa"/>
            <w:tcBorders>
              <w:top w:val="nil"/>
              <w:left w:val="nil"/>
              <w:bottom w:val="nil"/>
              <w:right w:val="nil"/>
            </w:tcBorders>
          </w:tcPr>
          <w:p w14:paraId="69A1C49F"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0.631***</w:t>
            </w:r>
          </w:p>
        </w:tc>
        <w:tc>
          <w:tcPr>
            <w:tcW w:w="1296" w:type="dxa"/>
            <w:tcBorders>
              <w:top w:val="nil"/>
              <w:left w:val="nil"/>
              <w:bottom w:val="nil"/>
              <w:right w:val="nil"/>
            </w:tcBorders>
          </w:tcPr>
          <w:p w14:paraId="7E0109E9"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1.263***</w:t>
            </w:r>
          </w:p>
        </w:tc>
      </w:tr>
      <w:tr w:rsidR="005B3C66" w:rsidRPr="00011803" w14:paraId="3FF9343F" w14:textId="77777777" w:rsidTr="00064D36">
        <w:trPr>
          <w:jc w:val="center"/>
        </w:trPr>
        <w:tc>
          <w:tcPr>
            <w:tcW w:w="3457" w:type="dxa"/>
            <w:tcBorders>
              <w:top w:val="nil"/>
              <w:left w:val="nil"/>
              <w:bottom w:val="nil"/>
              <w:right w:val="nil"/>
            </w:tcBorders>
          </w:tcPr>
          <w:p w14:paraId="7EF4E9F6" w14:textId="77777777" w:rsidR="005B3C66" w:rsidRPr="00011803" w:rsidRDefault="005B3C66" w:rsidP="00064D36">
            <w:pPr>
              <w:widowControl w:val="0"/>
              <w:autoSpaceDE w:val="0"/>
              <w:autoSpaceDN w:val="0"/>
              <w:adjustRightInd w:val="0"/>
              <w:rPr>
                <w:rFonts w:ascii="Garamond" w:hAnsi="Garamond" w:cs="Times New Roman"/>
              </w:rPr>
            </w:pPr>
            <w:r w:rsidRPr="00011803">
              <w:rPr>
                <w:rFonts w:ascii="Garamond" w:hAnsi="Garamond" w:cs="Times New Roman"/>
              </w:rPr>
              <w:t>(PM Escalates)</w:t>
            </w:r>
          </w:p>
        </w:tc>
        <w:tc>
          <w:tcPr>
            <w:tcW w:w="1296" w:type="dxa"/>
            <w:tcBorders>
              <w:top w:val="nil"/>
              <w:left w:val="nil"/>
              <w:bottom w:val="nil"/>
              <w:right w:val="nil"/>
            </w:tcBorders>
          </w:tcPr>
          <w:p w14:paraId="14C080B3"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(0.0400)</w:t>
            </w:r>
          </w:p>
        </w:tc>
        <w:tc>
          <w:tcPr>
            <w:tcW w:w="1440" w:type="dxa"/>
            <w:tcBorders>
              <w:top w:val="nil"/>
              <w:left w:val="nil"/>
              <w:bottom w:val="nil"/>
              <w:right w:val="nil"/>
            </w:tcBorders>
          </w:tcPr>
          <w:p w14:paraId="38161018"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(0.171)</w:t>
            </w:r>
          </w:p>
        </w:tc>
        <w:tc>
          <w:tcPr>
            <w:tcW w:w="1440" w:type="dxa"/>
            <w:tcBorders>
              <w:top w:val="nil"/>
              <w:left w:val="nil"/>
              <w:bottom w:val="nil"/>
              <w:right w:val="nil"/>
            </w:tcBorders>
          </w:tcPr>
          <w:p w14:paraId="417443FB"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(0.105)</w:t>
            </w:r>
          </w:p>
        </w:tc>
        <w:tc>
          <w:tcPr>
            <w:tcW w:w="1296" w:type="dxa"/>
            <w:tcBorders>
              <w:top w:val="nil"/>
              <w:left w:val="nil"/>
              <w:bottom w:val="nil"/>
              <w:right w:val="nil"/>
            </w:tcBorders>
          </w:tcPr>
          <w:p w14:paraId="2460D72A"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(0.161)</w:t>
            </w:r>
          </w:p>
          <w:p w14:paraId="322B3E13" w14:textId="77777777" w:rsidR="005B3C66" w:rsidRPr="00011803" w:rsidRDefault="005B3C66" w:rsidP="00064D36">
            <w:pPr>
              <w:widowControl w:val="0"/>
              <w:autoSpaceDE w:val="0"/>
              <w:autoSpaceDN w:val="0"/>
              <w:adjustRightInd w:val="0"/>
              <w:jc w:val="center"/>
              <w:rPr>
                <w:rFonts w:ascii="Garamond" w:hAnsi="Garamond" w:cs="Times New Roman"/>
              </w:rPr>
            </w:pPr>
          </w:p>
        </w:tc>
      </w:tr>
      <w:tr w:rsidR="005B3C66" w:rsidRPr="00011803" w14:paraId="731CE988" w14:textId="77777777" w:rsidTr="00064D36">
        <w:trPr>
          <w:jc w:val="center"/>
        </w:trPr>
        <w:tc>
          <w:tcPr>
            <w:tcW w:w="3457" w:type="dxa"/>
            <w:tcBorders>
              <w:top w:val="nil"/>
              <w:left w:val="nil"/>
              <w:bottom w:val="nil"/>
              <w:right w:val="nil"/>
            </w:tcBorders>
          </w:tcPr>
          <w:p w14:paraId="56562A74" w14:textId="77777777" w:rsidR="005B3C66" w:rsidRPr="00011803" w:rsidRDefault="005B3C66" w:rsidP="00064D36">
            <w:pPr>
              <w:widowControl w:val="0"/>
              <w:autoSpaceDE w:val="0"/>
              <w:autoSpaceDN w:val="0"/>
              <w:adjustRightInd w:val="0"/>
              <w:rPr>
                <w:rFonts w:ascii="Garamond" w:hAnsi="Garamond" w:cs="Times New Roman"/>
              </w:rPr>
            </w:pPr>
            <w:r>
              <w:rPr>
                <w:rFonts w:ascii="Garamond" w:hAnsi="Garamond" w:cs="Times New Roman"/>
              </w:rPr>
              <w:t>Treatment 6</w:t>
            </w:r>
          </w:p>
        </w:tc>
        <w:tc>
          <w:tcPr>
            <w:tcW w:w="1296" w:type="dxa"/>
            <w:tcBorders>
              <w:top w:val="nil"/>
              <w:left w:val="nil"/>
              <w:bottom w:val="nil"/>
              <w:right w:val="nil"/>
            </w:tcBorders>
          </w:tcPr>
          <w:p w14:paraId="42A78E9D"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0.347***</w:t>
            </w:r>
          </w:p>
        </w:tc>
        <w:tc>
          <w:tcPr>
            <w:tcW w:w="1440" w:type="dxa"/>
            <w:tcBorders>
              <w:top w:val="nil"/>
              <w:left w:val="nil"/>
              <w:bottom w:val="nil"/>
              <w:right w:val="nil"/>
            </w:tcBorders>
          </w:tcPr>
          <w:p w14:paraId="3116FB25"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1.486***</w:t>
            </w:r>
          </w:p>
        </w:tc>
        <w:tc>
          <w:tcPr>
            <w:tcW w:w="1440" w:type="dxa"/>
            <w:tcBorders>
              <w:top w:val="nil"/>
              <w:left w:val="nil"/>
              <w:bottom w:val="nil"/>
              <w:right w:val="nil"/>
            </w:tcBorders>
          </w:tcPr>
          <w:p w14:paraId="59AD99AD"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0.917***</w:t>
            </w:r>
          </w:p>
        </w:tc>
        <w:tc>
          <w:tcPr>
            <w:tcW w:w="1296" w:type="dxa"/>
            <w:tcBorders>
              <w:top w:val="nil"/>
              <w:left w:val="nil"/>
              <w:bottom w:val="nil"/>
              <w:right w:val="nil"/>
            </w:tcBorders>
          </w:tcPr>
          <w:p w14:paraId="73ED5684"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1.766***</w:t>
            </w:r>
          </w:p>
        </w:tc>
      </w:tr>
      <w:tr w:rsidR="005B3C66" w:rsidRPr="00011803" w14:paraId="7E54C0DC" w14:textId="77777777" w:rsidTr="00064D36">
        <w:trPr>
          <w:jc w:val="center"/>
        </w:trPr>
        <w:tc>
          <w:tcPr>
            <w:tcW w:w="3457" w:type="dxa"/>
            <w:tcBorders>
              <w:top w:val="nil"/>
              <w:left w:val="nil"/>
              <w:bottom w:val="nil"/>
              <w:right w:val="nil"/>
            </w:tcBorders>
          </w:tcPr>
          <w:p w14:paraId="3737EFAE" w14:textId="77777777" w:rsidR="005B3C66" w:rsidRPr="00011803" w:rsidRDefault="005B3C66" w:rsidP="00064D36">
            <w:pPr>
              <w:widowControl w:val="0"/>
              <w:autoSpaceDE w:val="0"/>
              <w:autoSpaceDN w:val="0"/>
              <w:adjustRightInd w:val="0"/>
              <w:rPr>
                <w:rFonts w:ascii="Garamond" w:hAnsi="Garamond" w:cs="Times New Roman"/>
              </w:rPr>
            </w:pPr>
            <w:r w:rsidRPr="00011803">
              <w:rPr>
                <w:rFonts w:ascii="Garamond" w:hAnsi="Garamond" w:cs="Times New Roman"/>
              </w:rPr>
              <w:t>(COAS Escalates)</w:t>
            </w:r>
          </w:p>
        </w:tc>
        <w:tc>
          <w:tcPr>
            <w:tcW w:w="1296" w:type="dxa"/>
            <w:tcBorders>
              <w:top w:val="nil"/>
              <w:left w:val="nil"/>
              <w:bottom w:val="nil"/>
              <w:right w:val="nil"/>
            </w:tcBorders>
          </w:tcPr>
          <w:p w14:paraId="77F2C7FD"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(0.0390)</w:t>
            </w:r>
          </w:p>
        </w:tc>
        <w:tc>
          <w:tcPr>
            <w:tcW w:w="1440" w:type="dxa"/>
            <w:tcBorders>
              <w:top w:val="nil"/>
              <w:left w:val="nil"/>
              <w:bottom w:val="nil"/>
              <w:right w:val="nil"/>
            </w:tcBorders>
          </w:tcPr>
          <w:p w14:paraId="37EF36B0"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(0.174)</w:t>
            </w:r>
          </w:p>
        </w:tc>
        <w:tc>
          <w:tcPr>
            <w:tcW w:w="1440" w:type="dxa"/>
            <w:tcBorders>
              <w:top w:val="nil"/>
              <w:left w:val="nil"/>
              <w:bottom w:val="nil"/>
              <w:right w:val="nil"/>
            </w:tcBorders>
          </w:tcPr>
          <w:p w14:paraId="6F11C87D"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(0.106)</w:t>
            </w:r>
          </w:p>
        </w:tc>
        <w:tc>
          <w:tcPr>
            <w:tcW w:w="1296" w:type="dxa"/>
            <w:tcBorders>
              <w:top w:val="nil"/>
              <w:left w:val="nil"/>
              <w:bottom w:val="nil"/>
              <w:right w:val="nil"/>
            </w:tcBorders>
          </w:tcPr>
          <w:p w14:paraId="1845595A"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(0.157)</w:t>
            </w:r>
          </w:p>
          <w:p w14:paraId="37818193" w14:textId="77777777" w:rsidR="005B3C66" w:rsidRPr="00011803" w:rsidRDefault="005B3C66" w:rsidP="00064D36">
            <w:pPr>
              <w:widowControl w:val="0"/>
              <w:autoSpaceDE w:val="0"/>
              <w:autoSpaceDN w:val="0"/>
              <w:adjustRightInd w:val="0"/>
              <w:jc w:val="center"/>
              <w:rPr>
                <w:rFonts w:ascii="Garamond" w:hAnsi="Garamond" w:cs="Times New Roman"/>
              </w:rPr>
            </w:pPr>
          </w:p>
        </w:tc>
      </w:tr>
      <w:tr w:rsidR="005B3C66" w:rsidRPr="00011803" w14:paraId="75591913" w14:textId="77777777" w:rsidTr="00064D36">
        <w:trPr>
          <w:jc w:val="center"/>
        </w:trPr>
        <w:tc>
          <w:tcPr>
            <w:tcW w:w="3457" w:type="dxa"/>
            <w:tcBorders>
              <w:top w:val="nil"/>
              <w:left w:val="nil"/>
              <w:bottom w:val="nil"/>
              <w:right w:val="nil"/>
            </w:tcBorders>
          </w:tcPr>
          <w:p w14:paraId="1477BDAC" w14:textId="77777777" w:rsidR="005B3C66" w:rsidRPr="00011803" w:rsidRDefault="005B3C66" w:rsidP="00064D36">
            <w:pPr>
              <w:widowControl w:val="0"/>
              <w:autoSpaceDE w:val="0"/>
              <w:autoSpaceDN w:val="0"/>
              <w:adjustRightInd w:val="0"/>
              <w:rPr>
                <w:rFonts w:ascii="Garamond" w:hAnsi="Garamond" w:cs="Times New Roman"/>
              </w:rPr>
            </w:pPr>
            <w:r w:rsidRPr="00011803">
              <w:rPr>
                <w:rFonts w:ascii="Garamond" w:hAnsi="Garamond" w:cs="Times New Roman"/>
              </w:rPr>
              <w:t>Constant</w:t>
            </w:r>
          </w:p>
        </w:tc>
        <w:tc>
          <w:tcPr>
            <w:tcW w:w="1296" w:type="dxa"/>
            <w:tcBorders>
              <w:top w:val="nil"/>
              <w:left w:val="nil"/>
              <w:bottom w:val="nil"/>
              <w:right w:val="nil"/>
            </w:tcBorders>
          </w:tcPr>
          <w:p w14:paraId="50B42BCD"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0.397***</w:t>
            </w:r>
          </w:p>
        </w:tc>
        <w:tc>
          <w:tcPr>
            <w:tcW w:w="1440" w:type="dxa"/>
            <w:tcBorders>
              <w:top w:val="nil"/>
              <w:left w:val="nil"/>
              <w:bottom w:val="nil"/>
              <w:right w:val="nil"/>
            </w:tcBorders>
          </w:tcPr>
          <w:p w14:paraId="2B0139C8"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-0.420***</w:t>
            </w:r>
          </w:p>
        </w:tc>
        <w:tc>
          <w:tcPr>
            <w:tcW w:w="1440" w:type="dxa"/>
            <w:tcBorders>
              <w:top w:val="nil"/>
              <w:left w:val="nil"/>
              <w:bottom w:val="nil"/>
              <w:right w:val="nil"/>
            </w:tcBorders>
          </w:tcPr>
          <w:p w14:paraId="69126D1E"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-0.262***</w:t>
            </w:r>
          </w:p>
        </w:tc>
        <w:tc>
          <w:tcPr>
            <w:tcW w:w="1296" w:type="dxa"/>
            <w:tcBorders>
              <w:top w:val="nil"/>
              <w:left w:val="nil"/>
              <w:bottom w:val="nil"/>
              <w:right w:val="nil"/>
            </w:tcBorders>
          </w:tcPr>
          <w:p w14:paraId="02F11256"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3.895***</w:t>
            </w:r>
          </w:p>
        </w:tc>
      </w:tr>
      <w:tr w:rsidR="005B3C66" w:rsidRPr="00011803" w14:paraId="1E3F9851" w14:textId="77777777" w:rsidTr="00064D36">
        <w:trPr>
          <w:jc w:val="center"/>
        </w:trPr>
        <w:tc>
          <w:tcPr>
            <w:tcW w:w="3457" w:type="dxa"/>
            <w:tcBorders>
              <w:top w:val="nil"/>
              <w:left w:val="nil"/>
              <w:bottom w:val="nil"/>
              <w:right w:val="nil"/>
            </w:tcBorders>
          </w:tcPr>
          <w:p w14:paraId="7623D1B5" w14:textId="77777777" w:rsidR="005B3C66" w:rsidRPr="00011803" w:rsidRDefault="005B3C66" w:rsidP="00064D36">
            <w:pPr>
              <w:widowControl w:val="0"/>
              <w:autoSpaceDE w:val="0"/>
              <w:autoSpaceDN w:val="0"/>
              <w:adjustRightInd w:val="0"/>
              <w:rPr>
                <w:rFonts w:ascii="Garamond" w:hAnsi="Garamond" w:cs="Times New Roman"/>
              </w:rPr>
            </w:pPr>
            <w:r w:rsidRPr="00011803">
              <w:rPr>
                <w:rFonts w:ascii="Garamond" w:hAnsi="Garamond" w:cs="Times New Roman"/>
              </w:rPr>
              <w:t>(PM De-esc.)</w:t>
            </w:r>
          </w:p>
        </w:tc>
        <w:tc>
          <w:tcPr>
            <w:tcW w:w="1296" w:type="dxa"/>
            <w:tcBorders>
              <w:top w:val="nil"/>
              <w:left w:val="nil"/>
              <w:bottom w:val="nil"/>
              <w:right w:val="nil"/>
            </w:tcBorders>
          </w:tcPr>
          <w:p w14:paraId="5730FB92"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(0.0282)</w:t>
            </w:r>
          </w:p>
        </w:tc>
        <w:tc>
          <w:tcPr>
            <w:tcW w:w="1440" w:type="dxa"/>
            <w:tcBorders>
              <w:top w:val="nil"/>
              <w:left w:val="nil"/>
              <w:bottom w:val="nil"/>
              <w:right w:val="nil"/>
            </w:tcBorders>
          </w:tcPr>
          <w:p w14:paraId="0D3002C2"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(0.119)</w:t>
            </w:r>
          </w:p>
        </w:tc>
        <w:tc>
          <w:tcPr>
            <w:tcW w:w="1440" w:type="dxa"/>
            <w:tcBorders>
              <w:top w:val="nil"/>
              <w:left w:val="nil"/>
              <w:bottom w:val="nil"/>
              <w:right w:val="nil"/>
            </w:tcBorders>
          </w:tcPr>
          <w:p w14:paraId="05E6837A"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(0.0739)</w:t>
            </w:r>
          </w:p>
        </w:tc>
        <w:tc>
          <w:tcPr>
            <w:tcW w:w="1296" w:type="dxa"/>
            <w:tcBorders>
              <w:top w:val="nil"/>
              <w:left w:val="nil"/>
              <w:bottom w:val="nil"/>
              <w:right w:val="nil"/>
            </w:tcBorders>
          </w:tcPr>
          <w:p w14:paraId="774E9F3B" w14:textId="77777777" w:rsidR="005B3C66" w:rsidRPr="00011803" w:rsidRDefault="005B3C66" w:rsidP="00064D36">
            <w:pPr>
              <w:widowControl w:val="0"/>
              <w:autoSpaceDE w:val="0"/>
              <w:autoSpaceDN w:val="0"/>
              <w:adjustRightInd w:val="0"/>
              <w:jc w:val="center"/>
              <w:rPr>
                <w:rFonts w:ascii="Garamond" w:hAnsi="Garamond" w:cs="Times New Roman"/>
              </w:rPr>
            </w:pPr>
            <w:r w:rsidRPr="00011803">
              <w:rPr>
                <w:rFonts w:ascii="Garamond" w:hAnsi="Garamond" w:cs="Times New Roman"/>
              </w:rPr>
              <w:t>(0.114)</w:t>
            </w:r>
          </w:p>
        </w:tc>
      </w:tr>
      <w:tr w:rsidR="005B3C66" w:rsidRPr="00011803" w14:paraId="20D94D61" w14:textId="77777777" w:rsidTr="00064D36">
        <w:tblPrEx>
          <w:tblBorders>
            <w:bottom w:val="single" w:sz="6" w:space="0" w:color="auto"/>
          </w:tblBorders>
        </w:tblPrEx>
        <w:trPr>
          <w:jc w:val="center"/>
        </w:trPr>
        <w:tc>
          <w:tcPr>
            <w:tcW w:w="3457" w:type="dxa"/>
            <w:tcBorders>
              <w:top w:val="nil"/>
              <w:left w:val="nil"/>
              <w:bottom w:val="single" w:sz="6" w:space="0" w:color="auto"/>
              <w:right w:val="nil"/>
            </w:tcBorders>
          </w:tcPr>
          <w:p w14:paraId="08C314E6" w14:textId="77777777" w:rsidR="005B3C66" w:rsidRPr="00011803" w:rsidRDefault="005B3C66" w:rsidP="00064D36">
            <w:pPr>
              <w:widowControl w:val="0"/>
              <w:autoSpaceDE w:val="0"/>
              <w:autoSpaceDN w:val="0"/>
              <w:adjustRightInd w:val="0"/>
              <w:rPr>
                <w:rFonts w:ascii="Garamond" w:hAnsi="Garamond" w:cs="Times New Roman"/>
              </w:rPr>
            </w:pPr>
          </w:p>
        </w:tc>
        <w:tc>
          <w:tcPr>
            <w:tcW w:w="1296" w:type="dxa"/>
            <w:tcBorders>
              <w:top w:val="nil"/>
              <w:left w:val="nil"/>
              <w:bottom w:val="single" w:sz="6" w:space="0" w:color="auto"/>
              <w:right w:val="nil"/>
            </w:tcBorders>
          </w:tcPr>
          <w:p w14:paraId="3F057B3E" w14:textId="77777777" w:rsidR="005B3C66" w:rsidRPr="00011803" w:rsidRDefault="005B3C66" w:rsidP="00064D36">
            <w:pPr>
              <w:widowControl w:val="0"/>
              <w:autoSpaceDE w:val="0"/>
              <w:autoSpaceDN w:val="0"/>
              <w:adjustRightInd w:val="0"/>
              <w:jc w:val="center"/>
              <w:rPr>
                <w:rFonts w:ascii="Garamond" w:hAnsi="Garamond" w:cs="Times New Roman"/>
              </w:rPr>
            </w:pPr>
          </w:p>
        </w:tc>
        <w:tc>
          <w:tcPr>
            <w:tcW w:w="1440" w:type="dxa"/>
            <w:tcBorders>
              <w:top w:val="nil"/>
              <w:left w:val="nil"/>
              <w:bottom w:val="single" w:sz="6" w:space="0" w:color="auto"/>
              <w:right w:val="nil"/>
            </w:tcBorders>
          </w:tcPr>
          <w:p w14:paraId="5055E27F" w14:textId="77777777" w:rsidR="005B3C66" w:rsidRPr="00011803" w:rsidRDefault="005B3C66" w:rsidP="00064D36">
            <w:pPr>
              <w:widowControl w:val="0"/>
              <w:autoSpaceDE w:val="0"/>
              <w:autoSpaceDN w:val="0"/>
              <w:adjustRightInd w:val="0"/>
              <w:jc w:val="center"/>
              <w:rPr>
                <w:rFonts w:ascii="Garamond" w:hAnsi="Garamond" w:cs="Times New Roman"/>
              </w:rPr>
            </w:pPr>
          </w:p>
        </w:tc>
        <w:tc>
          <w:tcPr>
            <w:tcW w:w="1440" w:type="dxa"/>
            <w:tcBorders>
              <w:top w:val="nil"/>
              <w:left w:val="nil"/>
              <w:bottom w:val="single" w:sz="6" w:space="0" w:color="auto"/>
              <w:right w:val="nil"/>
            </w:tcBorders>
          </w:tcPr>
          <w:p w14:paraId="09DF0E56" w14:textId="77777777" w:rsidR="005B3C66" w:rsidRPr="00011803" w:rsidRDefault="005B3C66" w:rsidP="00064D36">
            <w:pPr>
              <w:widowControl w:val="0"/>
              <w:autoSpaceDE w:val="0"/>
              <w:autoSpaceDN w:val="0"/>
              <w:adjustRightInd w:val="0"/>
              <w:jc w:val="center"/>
              <w:rPr>
                <w:rFonts w:ascii="Garamond" w:hAnsi="Garamond" w:cs="Times New Roman"/>
              </w:rPr>
            </w:pPr>
          </w:p>
        </w:tc>
        <w:tc>
          <w:tcPr>
            <w:tcW w:w="1296" w:type="dxa"/>
            <w:tcBorders>
              <w:top w:val="nil"/>
              <w:left w:val="nil"/>
              <w:bottom w:val="single" w:sz="6" w:space="0" w:color="auto"/>
              <w:right w:val="nil"/>
            </w:tcBorders>
          </w:tcPr>
          <w:p w14:paraId="4D35B7CF" w14:textId="77777777" w:rsidR="005B3C66" w:rsidRPr="00011803" w:rsidRDefault="005B3C66" w:rsidP="00064D36">
            <w:pPr>
              <w:widowControl w:val="0"/>
              <w:autoSpaceDE w:val="0"/>
              <w:autoSpaceDN w:val="0"/>
              <w:adjustRightInd w:val="0"/>
              <w:jc w:val="center"/>
              <w:rPr>
                <w:rFonts w:ascii="Garamond" w:hAnsi="Garamond" w:cs="Times New Roman"/>
              </w:rPr>
            </w:pPr>
          </w:p>
        </w:tc>
      </w:tr>
    </w:tbl>
    <w:p w14:paraId="4B7A3929" w14:textId="77777777" w:rsidR="005B3C66" w:rsidRPr="00011803" w:rsidRDefault="005B3C66" w:rsidP="005B3C66">
      <w:pPr>
        <w:widowControl w:val="0"/>
        <w:autoSpaceDE w:val="0"/>
        <w:autoSpaceDN w:val="0"/>
        <w:adjustRightInd w:val="0"/>
        <w:jc w:val="center"/>
        <w:rPr>
          <w:rFonts w:ascii="Garamond" w:hAnsi="Garamond" w:cs="Times New Roman"/>
        </w:rPr>
      </w:pPr>
      <w:r w:rsidRPr="00011803">
        <w:rPr>
          <w:rFonts w:ascii="Garamond" w:hAnsi="Garamond" w:cs="Times New Roman"/>
        </w:rPr>
        <w:t>Standard errors in parentheses</w:t>
      </w:r>
    </w:p>
    <w:p w14:paraId="2AEFB934" w14:textId="77777777" w:rsidR="005B3C66" w:rsidRPr="00011803" w:rsidRDefault="005B3C66" w:rsidP="005B3C66">
      <w:pPr>
        <w:widowControl w:val="0"/>
        <w:autoSpaceDE w:val="0"/>
        <w:autoSpaceDN w:val="0"/>
        <w:adjustRightInd w:val="0"/>
        <w:jc w:val="center"/>
        <w:rPr>
          <w:rFonts w:ascii="Garamond" w:hAnsi="Garamond" w:cs="Times New Roman"/>
        </w:rPr>
      </w:pPr>
      <w:r w:rsidRPr="00011803">
        <w:rPr>
          <w:rFonts w:ascii="Garamond" w:hAnsi="Garamond" w:cs="Times New Roman"/>
        </w:rPr>
        <w:t>*** p&lt;0.01, ** p&lt;0.05, * p&lt;0.1</w:t>
      </w:r>
    </w:p>
    <w:p w14:paraId="49A0DB87" w14:textId="77777777" w:rsidR="005B3C66" w:rsidRDefault="005B3C66" w:rsidP="005B3C66">
      <w:pPr>
        <w:widowControl w:val="0"/>
        <w:autoSpaceDE w:val="0"/>
        <w:autoSpaceDN w:val="0"/>
        <w:adjustRightInd w:val="0"/>
        <w:jc w:val="center"/>
        <w:rPr>
          <w:rFonts w:ascii="Garamond" w:hAnsi="Garamond" w:cs="Times New Roman"/>
        </w:rPr>
      </w:pPr>
    </w:p>
    <w:p w14:paraId="3B12A981" w14:textId="77777777" w:rsidR="005B3C66" w:rsidRDefault="005B3C66" w:rsidP="005B3C66">
      <w:pPr>
        <w:widowControl w:val="0"/>
        <w:autoSpaceDE w:val="0"/>
        <w:autoSpaceDN w:val="0"/>
        <w:adjustRightInd w:val="0"/>
        <w:jc w:val="center"/>
        <w:rPr>
          <w:rFonts w:ascii="Garamond" w:hAnsi="Garamond" w:cs="Times New Roman"/>
        </w:rPr>
      </w:pPr>
    </w:p>
    <w:p w14:paraId="55FD7D13" w14:textId="77777777" w:rsidR="005B3C66" w:rsidRPr="00F70131" w:rsidRDefault="005B3C66" w:rsidP="005B3C66">
      <w:pPr>
        <w:widowControl w:val="0"/>
        <w:autoSpaceDE w:val="0"/>
        <w:autoSpaceDN w:val="0"/>
        <w:adjustRightInd w:val="0"/>
        <w:jc w:val="center"/>
        <w:rPr>
          <w:rFonts w:ascii="Garamond" w:hAnsi="Garamond" w:cs="Times New Roman"/>
          <w:b/>
        </w:rPr>
      </w:pPr>
      <w:r>
        <w:rPr>
          <w:rFonts w:ascii="Garamond" w:hAnsi="Garamond" w:cs="Times New Roman"/>
          <w:b/>
        </w:rPr>
        <w:t>Table 2: Tests for Equality of Coefficient Estimates from Model 1</w:t>
      </w:r>
    </w:p>
    <w:tbl>
      <w:tblPr>
        <w:tblStyle w:val="TableGrid"/>
        <w:tblW w:w="0" w:type="auto"/>
        <w:tblLook w:val="04A0" w:firstRow="1" w:lastRow="0" w:firstColumn="1" w:lastColumn="0" w:noHBand="0" w:noVBand="1"/>
      </w:tblPr>
      <w:tblGrid>
        <w:gridCol w:w="6142"/>
        <w:gridCol w:w="1326"/>
        <w:gridCol w:w="1882"/>
      </w:tblGrid>
      <w:tr w:rsidR="005B3C66" w14:paraId="398C1F16" w14:textId="77777777" w:rsidTr="00064D36">
        <w:trPr>
          <w:trHeight w:val="198"/>
        </w:trPr>
        <w:tc>
          <w:tcPr>
            <w:tcW w:w="6320" w:type="dxa"/>
          </w:tcPr>
          <w:p w14:paraId="78B4191E" w14:textId="77777777" w:rsidR="005B3C66" w:rsidRPr="001E571B" w:rsidRDefault="005B3C66" w:rsidP="00064D36">
            <w:pPr>
              <w:widowControl w:val="0"/>
              <w:autoSpaceDE w:val="0"/>
              <w:autoSpaceDN w:val="0"/>
              <w:adjustRightInd w:val="0"/>
              <w:rPr>
                <w:rFonts w:ascii="Garamond" w:hAnsi="Garamond" w:cs="Times New Roman"/>
              </w:rPr>
            </w:pPr>
            <w:r>
              <w:rPr>
                <w:rFonts w:ascii="Garamond" w:hAnsi="Garamond" w:cs="Times New Roman"/>
                <w:i/>
              </w:rPr>
              <w:t>Comparison</w:t>
            </w:r>
          </w:p>
        </w:tc>
        <w:tc>
          <w:tcPr>
            <w:tcW w:w="1341" w:type="dxa"/>
          </w:tcPr>
          <w:p w14:paraId="30347E39" w14:textId="77777777" w:rsidR="005B3C66" w:rsidRPr="001E571B" w:rsidRDefault="005B3C66" w:rsidP="00064D36">
            <w:pPr>
              <w:widowControl w:val="0"/>
              <w:autoSpaceDE w:val="0"/>
              <w:autoSpaceDN w:val="0"/>
              <w:adjustRightInd w:val="0"/>
              <w:rPr>
                <w:rFonts w:ascii="Garamond" w:hAnsi="Garamond" w:cs="Times New Roman"/>
              </w:rPr>
            </w:pPr>
            <w:r>
              <w:rPr>
                <w:rFonts w:ascii="Garamond" w:hAnsi="Garamond" w:cs="Times New Roman"/>
              </w:rPr>
              <w:t>F-statistic (1, 1790)</w:t>
            </w:r>
          </w:p>
        </w:tc>
        <w:tc>
          <w:tcPr>
            <w:tcW w:w="1915" w:type="dxa"/>
          </w:tcPr>
          <w:p w14:paraId="68DB20F4" w14:textId="77777777" w:rsidR="005B3C66" w:rsidRPr="001E571B" w:rsidRDefault="005B3C66" w:rsidP="00064D36">
            <w:pPr>
              <w:widowControl w:val="0"/>
              <w:autoSpaceDE w:val="0"/>
              <w:autoSpaceDN w:val="0"/>
              <w:adjustRightInd w:val="0"/>
              <w:rPr>
                <w:rFonts w:ascii="Garamond" w:hAnsi="Garamond" w:cs="Times New Roman"/>
              </w:rPr>
            </w:pPr>
            <w:r>
              <w:rPr>
                <w:rFonts w:ascii="Garamond" w:hAnsi="Garamond" w:cs="Times New Roman"/>
              </w:rPr>
              <w:t>P-value</w:t>
            </w:r>
          </w:p>
        </w:tc>
      </w:tr>
      <w:tr w:rsidR="005B3C66" w14:paraId="2787B497" w14:textId="77777777" w:rsidTr="00064D36">
        <w:trPr>
          <w:trHeight w:val="197"/>
        </w:trPr>
        <w:tc>
          <w:tcPr>
            <w:tcW w:w="6320" w:type="dxa"/>
          </w:tcPr>
          <w:p w14:paraId="4F915ECA" w14:textId="77777777" w:rsidR="005B3C66" w:rsidRPr="001E571B" w:rsidRDefault="005B3C66" w:rsidP="00064D36">
            <w:pPr>
              <w:widowControl w:val="0"/>
              <w:autoSpaceDE w:val="0"/>
              <w:autoSpaceDN w:val="0"/>
              <w:adjustRightInd w:val="0"/>
              <w:rPr>
                <w:rFonts w:ascii="Garamond" w:hAnsi="Garamond" w:cs="Times New Roman"/>
              </w:rPr>
            </w:pPr>
            <w:r>
              <w:rPr>
                <w:rFonts w:ascii="Garamond" w:hAnsi="Garamond" w:cs="Times New Roman"/>
              </w:rPr>
              <w:t>Treatment 3 [PM de-escalates with economic justification] = Treatment 4 [PM de-escalates with nuclear justification]</w:t>
            </w:r>
          </w:p>
        </w:tc>
        <w:tc>
          <w:tcPr>
            <w:tcW w:w="1341" w:type="dxa"/>
          </w:tcPr>
          <w:p w14:paraId="16EE5662" w14:textId="77777777" w:rsidR="005B3C66" w:rsidRPr="001E571B" w:rsidRDefault="005B3C66" w:rsidP="00064D36">
            <w:pPr>
              <w:widowControl w:val="0"/>
              <w:autoSpaceDE w:val="0"/>
              <w:autoSpaceDN w:val="0"/>
              <w:adjustRightInd w:val="0"/>
              <w:rPr>
                <w:rFonts w:ascii="Garamond" w:hAnsi="Garamond" w:cs="Times New Roman"/>
              </w:rPr>
            </w:pPr>
            <w:r>
              <w:rPr>
                <w:rFonts w:ascii="Garamond" w:hAnsi="Garamond" w:cs="Times New Roman"/>
              </w:rPr>
              <w:t>0.62</w:t>
            </w:r>
          </w:p>
        </w:tc>
        <w:tc>
          <w:tcPr>
            <w:tcW w:w="1915" w:type="dxa"/>
          </w:tcPr>
          <w:p w14:paraId="5074AFC3" w14:textId="77777777" w:rsidR="005B3C66" w:rsidRPr="001E571B" w:rsidRDefault="005B3C66" w:rsidP="00064D36">
            <w:pPr>
              <w:widowControl w:val="0"/>
              <w:autoSpaceDE w:val="0"/>
              <w:autoSpaceDN w:val="0"/>
              <w:adjustRightInd w:val="0"/>
              <w:rPr>
                <w:rFonts w:ascii="Garamond" w:hAnsi="Garamond" w:cs="Times New Roman"/>
              </w:rPr>
            </w:pPr>
            <w:r>
              <w:rPr>
                <w:rFonts w:ascii="Garamond" w:hAnsi="Garamond" w:cs="Times New Roman"/>
              </w:rPr>
              <w:t>p&lt;0.43</w:t>
            </w:r>
          </w:p>
        </w:tc>
      </w:tr>
      <w:tr w:rsidR="005B3C66" w14:paraId="7D82FE2E" w14:textId="77777777" w:rsidTr="00064D36">
        <w:tc>
          <w:tcPr>
            <w:tcW w:w="6320" w:type="dxa"/>
          </w:tcPr>
          <w:p w14:paraId="1C27DC26" w14:textId="77777777" w:rsidR="005B3C66" w:rsidRDefault="005B3C66" w:rsidP="00064D36">
            <w:pPr>
              <w:widowControl w:val="0"/>
              <w:autoSpaceDE w:val="0"/>
              <w:autoSpaceDN w:val="0"/>
              <w:adjustRightInd w:val="0"/>
              <w:rPr>
                <w:rFonts w:ascii="Garamond" w:hAnsi="Garamond" w:cs="Times New Roman"/>
              </w:rPr>
            </w:pPr>
            <w:r>
              <w:rPr>
                <w:rFonts w:ascii="Garamond" w:hAnsi="Garamond" w:cs="Times New Roman"/>
              </w:rPr>
              <w:t>Treatment 2 [COAS de-escalates] = Treatment 6 [COAS escalates]</w:t>
            </w:r>
          </w:p>
        </w:tc>
        <w:tc>
          <w:tcPr>
            <w:tcW w:w="1341" w:type="dxa"/>
          </w:tcPr>
          <w:p w14:paraId="403568BC" w14:textId="77777777" w:rsidR="005B3C66" w:rsidRDefault="005B3C66" w:rsidP="00064D36">
            <w:pPr>
              <w:widowControl w:val="0"/>
              <w:autoSpaceDE w:val="0"/>
              <w:autoSpaceDN w:val="0"/>
              <w:adjustRightInd w:val="0"/>
              <w:rPr>
                <w:rFonts w:ascii="Garamond" w:hAnsi="Garamond" w:cs="Times New Roman"/>
              </w:rPr>
            </w:pPr>
            <w:r>
              <w:rPr>
                <w:rFonts w:ascii="Garamond" w:hAnsi="Garamond" w:cs="Times New Roman"/>
              </w:rPr>
              <w:t>58.81</w:t>
            </w:r>
          </w:p>
        </w:tc>
        <w:tc>
          <w:tcPr>
            <w:tcW w:w="1915" w:type="dxa"/>
          </w:tcPr>
          <w:p w14:paraId="5BFFC059" w14:textId="77777777" w:rsidR="005B3C66" w:rsidRDefault="005B3C66" w:rsidP="00064D36">
            <w:pPr>
              <w:widowControl w:val="0"/>
              <w:autoSpaceDE w:val="0"/>
              <w:autoSpaceDN w:val="0"/>
              <w:adjustRightInd w:val="0"/>
              <w:rPr>
                <w:rFonts w:ascii="Garamond" w:hAnsi="Garamond" w:cs="Times New Roman"/>
              </w:rPr>
            </w:pPr>
            <w:r>
              <w:rPr>
                <w:rFonts w:ascii="Garamond" w:hAnsi="Garamond" w:cs="Times New Roman"/>
              </w:rPr>
              <w:t>p&lt;0.001</w:t>
            </w:r>
          </w:p>
        </w:tc>
      </w:tr>
      <w:tr w:rsidR="005B3C66" w14:paraId="07DBCD74" w14:textId="77777777" w:rsidTr="00064D36">
        <w:tc>
          <w:tcPr>
            <w:tcW w:w="6320" w:type="dxa"/>
          </w:tcPr>
          <w:p w14:paraId="255E2179" w14:textId="77777777" w:rsidR="005B3C66" w:rsidRDefault="005B3C66" w:rsidP="00064D36">
            <w:pPr>
              <w:widowControl w:val="0"/>
              <w:autoSpaceDE w:val="0"/>
              <w:autoSpaceDN w:val="0"/>
              <w:adjustRightInd w:val="0"/>
              <w:rPr>
                <w:rFonts w:ascii="Garamond" w:hAnsi="Garamond" w:cs="Times New Roman"/>
              </w:rPr>
            </w:pPr>
            <w:r>
              <w:rPr>
                <w:rFonts w:ascii="Garamond" w:hAnsi="Garamond" w:cs="Times New Roman"/>
              </w:rPr>
              <w:t>Treatment 5 [PM escalates] = Treatment 6 [COAS escalates]</w:t>
            </w:r>
          </w:p>
          <w:p w14:paraId="2736F50D" w14:textId="77777777" w:rsidR="005B3C66" w:rsidRDefault="005B3C66" w:rsidP="00064D36">
            <w:pPr>
              <w:widowControl w:val="0"/>
              <w:autoSpaceDE w:val="0"/>
              <w:autoSpaceDN w:val="0"/>
              <w:adjustRightInd w:val="0"/>
              <w:rPr>
                <w:rFonts w:ascii="Garamond" w:hAnsi="Garamond" w:cs="Times New Roman"/>
              </w:rPr>
            </w:pPr>
          </w:p>
        </w:tc>
        <w:tc>
          <w:tcPr>
            <w:tcW w:w="1341" w:type="dxa"/>
          </w:tcPr>
          <w:p w14:paraId="0263C240" w14:textId="77777777" w:rsidR="005B3C66" w:rsidRDefault="005B3C66" w:rsidP="00064D36">
            <w:pPr>
              <w:widowControl w:val="0"/>
              <w:autoSpaceDE w:val="0"/>
              <w:autoSpaceDN w:val="0"/>
              <w:adjustRightInd w:val="0"/>
              <w:rPr>
                <w:rFonts w:ascii="Garamond" w:hAnsi="Garamond" w:cs="Times New Roman"/>
              </w:rPr>
            </w:pPr>
            <w:r>
              <w:rPr>
                <w:rFonts w:ascii="Garamond" w:hAnsi="Garamond" w:cs="Times New Roman"/>
              </w:rPr>
              <w:t>6.55</w:t>
            </w:r>
          </w:p>
        </w:tc>
        <w:tc>
          <w:tcPr>
            <w:tcW w:w="1915" w:type="dxa"/>
          </w:tcPr>
          <w:p w14:paraId="481FD283" w14:textId="77777777" w:rsidR="005B3C66" w:rsidRDefault="005B3C66" w:rsidP="00064D36">
            <w:pPr>
              <w:widowControl w:val="0"/>
              <w:autoSpaceDE w:val="0"/>
              <w:autoSpaceDN w:val="0"/>
              <w:adjustRightInd w:val="0"/>
              <w:rPr>
                <w:rFonts w:ascii="Garamond" w:hAnsi="Garamond" w:cs="Times New Roman"/>
              </w:rPr>
            </w:pPr>
            <w:r>
              <w:rPr>
                <w:rFonts w:ascii="Garamond" w:hAnsi="Garamond" w:cs="Times New Roman"/>
              </w:rPr>
              <w:t>p&lt;0.011</w:t>
            </w:r>
          </w:p>
        </w:tc>
      </w:tr>
    </w:tbl>
    <w:p w14:paraId="166587CD" w14:textId="77777777" w:rsidR="005B3C66" w:rsidRDefault="005B3C66" w:rsidP="005B3C66">
      <w:pPr>
        <w:widowControl w:val="0"/>
        <w:autoSpaceDE w:val="0"/>
        <w:autoSpaceDN w:val="0"/>
        <w:adjustRightInd w:val="0"/>
        <w:rPr>
          <w:rFonts w:ascii="Garamond" w:hAnsi="Garamond" w:cs="Times New Roman"/>
        </w:rPr>
      </w:pPr>
    </w:p>
    <w:p w14:paraId="501780D7" w14:textId="77777777" w:rsidR="005B3C66" w:rsidRPr="00B21078" w:rsidRDefault="005B3C66" w:rsidP="005B3C66">
      <w:pPr>
        <w:rPr>
          <w:rFonts w:ascii="Garamond" w:hAnsi="Garamond"/>
        </w:rPr>
      </w:pPr>
    </w:p>
    <w:p w14:paraId="30B688E1" w14:textId="77777777" w:rsidR="005B3C66" w:rsidRPr="00B21078" w:rsidRDefault="005B3C66" w:rsidP="005B3C66">
      <w:pPr>
        <w:rPr>
          <w:rFonts w:ascii="Garamond" w:hAnsi="Garamond"/>
        </w:rPr>
      </w:pPr>
    </w:p>
    <w:p w14:paraId="65ADF23B" w14:textId="77777777" w:rsidR="005B3C66" w:rsidRPr="00B21078" w:rsidRDefault="005B3C66" w:rsidP="005B3C66">
      <w:pPr>
        <w:rPr>
          <w:rFonts w:ascii="Garamond" w:hAnsi="Garamond"/>
        </w:rPr>
      </w:pPr>
    </w:p>
    <w:p w14:paraId="5D32C11C" w14:textId="77777777" w:rsidR="005B3C66" w:rsidRPr="00B21078" w:rsidRDefault="005B3C66" w:rsidP="005B3C66">
      <w:pPr>
        <w:rPr>
          <w:rFonts w:ascii="Garamond" w:hAnsi="Garamond"/>
          <w:b/>
        </w:rPr>
      </w:pPr>
    </w:p>
    <w:p w14:paraId="1710F212" w14:textId="4C48B10E" w:rsidR="00CB71E1" w:rsidRPr="00A30653" w:rsidRDefault="00CB71E1" w:rsidP="005B3C66">
      <w:pPr>
        <w:pStyle w:val="Bibliography"/>
        <w:spacing w:line="480" w:lineRule="auto"/>
        <w:ind w:left="0" w:firstLine="0"/>
        <w:rPr>
          <w:rFonts w:ascii="Garamond" w:hAnsi="Garamond"/>
        </w:rPr>
      </w:pPr>
    </w:p>
    <w:sectPr w:rsidR="00CB71E1" w:rsidRPr="00A30653" w:rsidSect="00A64341">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DF73E" w14:textId="77777777" w:rsidR="0080154A" w:rsidRDefault="0080154A" w:rsidP="00CF020D">
      <w:r>
        <w:separator/>
      </w:r>
    </w:p>
  </w:endnote>
  <w:endnote w:type="continuationSeparator" w:id="0">
    <w:p w14:paraId="50D81333" w14:textId="77777777" w:rsidR="0080154A" w:rsidRDefault="0080154A" w:rsidP="00CF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DC42C" w14:textId="77777777" w:rsidR="0057793E" w:rsidRDefault="0057793E" w:rsidP="002A4B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DA3846" w14:textId="77777777" w:rsidR="0057793E" w:rsidRDefault="0057793E" w:rsidP="004A57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9F885" w14:textId="77777777" w:rsidR="0057793E" w:rsidRPr="002A4B8E" w:rsidRDefault="0057793E" w:rsidP="002A4B8E">
    <w:pPr>
      <w:pStyle w:val="Footer"/>
      <w:framePr w:wrap="around" w:vAnchor="text" w:hAnchor="margin" w:xAlign="right" w:y="1"/>
      <w:rPr>
        <w:rStyle w:val="PageNumber"/>
        <w:rFonts w:ascii="Garamond" w:hAnsi="Garamond"/>
      </w:rPr>
    </w:pPr>
    <w:r w:rsidRPr="002A4B8E">
      <w:rPr>
        <w:rStyle w:val="PageNumber"/>
        <w:rFonts w:ascii="Garamond" w:hAnsi="Garamond"/>
      </w:rPr>
      <w:fldChar w:fldCharType="begin"/>
    </w:r>
    <w:r w:rsidRPr="004A573D">
      <w:rPr>
        <w:rStyle w:val="PageNumber"/>
        <w:rFonts w:ascii="Garamond" w:hAnsi="Garamond"/>
      </w:rPr>
      <w:instrText xml:space="preserve">PAGE  </w:instrText>
    </w:r>
    <w:r w:rsidRPr="002A4B8E">
      <w:rPr>
        <w:rStyle w:val="PageNumber"/>
        <w:rFonts w:ascii="Garamond" w:hAnsi="Garamond"/>
      </w:rPr>
      <w:fldChar w:fldCharType="separate"/>
    </w:r>
    <w:r>
      <w:rPr>
        <w:rStyle w:val="PageNumber"/>
        <w:rFonts w:ascii="Garamond" w:hAnsi="Garamond"/>
        <w:noProof/>
      </w:rPr>
      <w:t>22</w:t>
    </w:r>
    <w:r w:rsidRPr="002A4B8E">
      <w:rPr>
        <w:rStyle w:val="PageNumber"/>
        <w:rFonts w:ascii="Garamond" w:hAnsi="Garamond"/>
      </w:rPr>
      <w:fldChar w:fldCharType="end"/>
    </w:r>
  </w:p>
  <w:p w14:paraId="0CD1828C" w14:textId="77777777" w:rsidR="0057793E" w:rsidRDefault="0057793E" w:rsidP="007F77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2335D" w14:textId="77777777" w:rsidR="0080154A" w:rsidRDefault="0080154A" w:rsidP="00CF020D">
      <w:r>
        <w:separator/>
      </w:r>
    </w:p>
  </w:footnote>
  <w:footnote w:type="continuationSeparator" w:id="0">
    <w:p w14:paraId="0CFF965E" w14:textId="77777777" w:rsidR="0080154A" w:rsidRDefault="0080154A" w:rsidP="00CF020D">
      <w:r>
        <w:continuationSeparator/>
      </w:r>
    </w:p>
  </w:footnote>
  <w:footnote w:id="1">
    <w:p w14:paraId="0617BE72" w14:textId="77777777" w:rsidR="005B3C66" w:rsidRPr="002B65B1" w:rsidRDefault="005B3C66" w:rsidP="005B3C66">
      <w:pPr>
        <w:widowControl w:val="0"/>
        <w:autoSpaceDE w:val="0"/>
        <w:autoSpaceDN w:val="0"/>
        <w:adjustRightInd w:val="0"/>
        <w:jc w:val="both"/>
        <w:rPr>
          <w:rFonts w:ascii="Times New Roman" w:hAnsi="Times New Roman" w:cs="Times New Roman"/>
          <w:sz w:val="18"/>
          <w:szCs w:val="18"/>
        </w:rPr>
      </w:pPr>
      <w:r w:rsidRPr="00575DF5">
        <w:rPr>
          <w:rStyle w:val="FootnoteReference"/>
          <w:rFonts w:ascii="Garamond" w:hAnsi="Garamond"/>
        </w:rPr>
        <w:t>^</w:t>
      </w:r>
      <w:r w:rsidRPr="00575DF5">
        <w:rPr>
          <w:rFonts w:ascii="Garamond" w:hAnsi="Garamond"/>
        </w:rPr>
        <w:t xml:space="preserve"> </w:t>
      </w:r>
      <w:r>
        <w:rPr>
          <w:rFonts w:ascii="Garamond" w:hAnsi="Garamond"/>
        </w:rPr>
        <w:t xml:space="preserve">Author names are listed alphabetically. </w:t>
      </w:r>
      <w:r w:rsidRPr="002B65B1">
        <w:rPr>
          <w:rFonts w:ascii="Garamond" w:hAnsi="Garamond" w:cs="Times New Roman"/>
        </w:rPr>
        <w:t xml:space="preserve">We thank the Pakistan Institute of Public Opinion (an affiliate of Gallup International in Pakistan) for their excellent </w:t>
      </w:r>
      <w:r>
        <w:rPr>
          <w:rFonts w:ascii="Garamond" w:hAnsi="Garamond" w:cs="Times New Roman"/>
        </w:rPr>
        <w:t xml:space="preserve">work administering this survey. </w:t>
      </w:r>
      <w:r w:rsidRPr="002B65B1">
        <w:rPr>
          <w:rFonts w:ascii="Garamond" w:hAnsi="Garamond" w:cs="Times New Roman"/>
        </w:rPr>
        <w:t>We are grateful to everyone who has provided advice and</w:t>
      </w:r>
      <w:r>
        <w:rPr>
          <w:rFonts w:ascii="Garamond" w:hAnsi="Garamond" w:cs="Times New Roman"/>
        </w:rPr>
        <w:t xml:space="preserve"> feedback</w:t>
      </w:r>
      <w:r w:rsidRPr="002B65B1">
        <w:rPr>
          <w:rFonts w:ascii="Garamond" w:hAnsi="Garamond" w:cs="Times New Roman"/>
        </w:rPr>
        <w:t>, in particular Dan Altm</w:t>
      </w:r>
      <w:r>
        <w:rPr>
          <w:rFonts w:ascii="Garamond" w:hAnsi="Garamond" w:cs="Times New Roman"/>
        </w:rPr>
        <w:t>an, Mark Bell, Christopher Gelp</w:t>
      </w:r>
      <w:r w:rsidRPr="002B65B1">
        <w:rPr>
          <w:rFonts w:ascii="Garamond" w:hAnsi="Garamond" w:cs="Times New Roman"/>
        </w:rPr>
        <w:t xml:space="preserve">i, Jiyoung Ko, Nick Miller, Will Nomikos, </w:t>
      </w:r>
      <w:r>
        <w:rPr>
          <w:rFonts w:ascii="Garamond" w:hAnsi="Garamond" w:cs="Times New Roman"/>
        </w:rPr>
        <w:t xml:space="preserve">Kai Quek, </w:t>
      </w:r>
      <w:r w:rsidRPr="002B65B1">
        <w:rPr>
          <w:rFonts w:ascii="Garamond" w:hAnsi="Garamond" w:cs="Times New Roman"/>
        </w:rPr>
        <w:t>Scott Sagan, and Ben Valentino, as well as particip</w:t>
      </w:r>
      <w:r>
        <w:rPr>
          <w:rFonts w:ascii="Garamond" w:hAnsi="Garamond" w:cs="Times New Roman"/>
        </w:rPr>
        <w:t>ants of</w:t>
      </w:r>
      <w:r w:rsidRPr="002B65B1">
        <w:rPr>
          <w:rFonts w:ascii="Garamond" w:hAnsi="Garamond" w:cs="Times New Roman"/>
        </w:rPr>
        <w:t xml:space="preserve"> the 2018 International Studies Association conference in San Francisco and the 2018 American Political Science Association conference in Boston. </w:t>
      </w:r>
      <w:r w:rsidRPr="002B65B1">
        <w:rPr>
          <w:rFonts w:ascii="Garamond" w:hAnsi="Garamond"/>
        </w:rPr>
        <w:t xml:space="preserve">Special thanks to Hamza Shad for </w:t>
      </w:r>
      <w:r>
        <w:rPr>
          <w:rFonts w:ascii="Garamond" w:hAnsi="Garamond"/>
        </w:rPr>
        <w:t xml:space="preserve">exceptional </w:t>
      </w:r>
      <w:r w:rsidRPr="002B65B1">
        <w:rPr>
          <w:rFonts w:ascii="Garamond" w:hAnsi="Garamond"/>
        </w:rPr>
        <w:t>research assistance.</w:t>
      </w:r>
      <w:r w:rsidRPr="00575DF5">
        <w:rPr>
          <w:rFonts w:ascii="Garamond" w:hAnsi="Garamond"/>
        </w:rPr>
        <w:t xml:space="preserve"> </w:t>
      </w:r>
      <w:r w:rsidRPr="0041186B">
        <w:rPr>
          <w:rFonts w:ascii="Garamond" w:hAnsi="Garamond"/>
        </w:rPr>
        <w:t xml:space="preserve">This project was possible </w:t>
      </w:r>
      <w:r>
        <w:rPr>
          <w:rFonts w:ascii="Garamond" w:hAnsi="Garamond"/>
        </w:rPr>
        <w:t>due</w:t>
      </w:r>
      <w:r w:rsidRPr="0041186B">
        <w:rPr>
          <w:rFonts w:ascii="Garamond" w:hAnsi="Garamond"/>
        </w:rPr>
        <w:t xml:space="preserve"> to generous support from the </w:t>
      </w:r>
      <w:r>
        <w:rPr>
          <w:rFonts w:ascii="Garamond" w:hAnsi="Garamond"/>
        </w:rPr>
        <w:t xml:space="preserve">MacArthur Foundation and the University at Albany-State University of New York. </w:t>
      </w:r>
    </w:p>
  </w:footnote>
  <w:footnote w:id="2">
    <w:p w14:paraId="57A19CA1" w14:textId="65D00FFF" w:rsidR="00B34232" w:rsidRPr="00036B2E" w:rsidRDefault="00B34232" w:rsidP="007A5EB9">
      <w:pPr>
        <w:pStyle w:val="FootnoteText"/>
        <w:spacing w:line="480" w:lineRule="auto"/>
        <w:rPr>
          <w:rFonts w:ascii="Garamond" w:hAnsi="Garamond"/>
          <w:sz w:val="24"/>
          <w:szCs w:val="24"/>
        </w:rPr>
      </w:pPr>
      <w:r>
        <w:rPr>
          <w:rStyle w:val="FootnoteReference"/>
        </w:rPr>
        <w:t>1</w:t>
      </w:r>
      <w:r>
        <w:t xml:space="preserve"> </w:t>
      </w:r>
      <w:r w:rsidRPr="0057038A">
        <w:rPr>
          <w:rFonts w:ascii="Garamond" w:hAnsi="Garamond"/>
          <w:sz w:val="24"/>
          <w:szCs w:val="24"/>
        </w:rPr>
        <w:t>On why transitional or weakly institutionalized democracies may engage in different international behavior, see Van Evera 1994; Snyder and Ballentine 1996; Mansfield and Snyder 2007, chaps 3–4.</w:t>
      </w:r>
    </w:p>
  </w:footnote>
  <w:footnote w:id="3">
    <w:p w14:paraId="3E5E5BB1" w14:textId="12B72192" w:rsidR="00B34232" w:rsidRDefault="00B34232" w:rsidP="00036B2E">
      <w:pPr>
        <w:pStyle w:val="FootnoteText"/>
        <w:spacing w:line="480" w:lineRule="auto"/>
      </w:pPr>
      <w:r>
        <w:rPr>
          <w:rStyle w:val="FootnoteReference"/>
        </w:rPr>
        <w:t>2</w:t>
      </w:r>
      <w:r>
        <w:t xml:space="preserve"> </w:t>
      </w:r>
      <w:r w:rsidRPr="0057038A">
        <w:rPr>
          <w:rFonts w:ascii="Garamond" w:hAnsi="Garamond"/>
          <w:sz w:val="24"/>
          <w:szCs w:val="24"/>
        </w:rPr>
        <w:t>Georgia in 2008, which was the focus of Driscoll and Maliniak 2016, was partly “free” according to Freedom House</w:t>
      </w:r>
      <w:r w:rsidR="006B61B8">
        <w:rPr>
          <w:rFonts w:ascii="Garamond" w:hAnsi="Garamond"/>
          <w:sz w:val="24"/>
          <w:szCs w:val="24"/>
        </w:rPr>
        <w:t xml:space="preserve">, and is, to the best of our knowledge, the only other </w:t>
      </w:r>
      <w:r w:rsidR="00036B2E">
        <w:rPr>
          <w:rFonts w:ascii="Garamond" w:hAnsi="Garamond"/>
          <w:sz w:val="24"/>
          <w:szCs w:val="24"/>
        </w:rPr>
        <w:t xml:space="preserve">foreign policy </w:t>
      </w:r>
      <w:r w:rsidR="006B61B8">
        <w:rPr>
          <w:rFonts w:ascii="Garamond" w:hAnsi="Garamond"/>
          <w:sz w:val="24"/>
          <w:szCs w:val="24"/>
        </w:rPr>
        <w:t>survey experiment that has occurred in a hybrid regime</w:t>
      </w:r>
      <w:r w:rsidRPr="0057038A">
        <w:rPr>
          <w:rFonts w:ascii="Garamond" w:hAnsi="Garamond"/>
          <w:sz w:val="24"/>
          <w:szCs w:val="24"/>
        </w:rPr>
        <w:t>.</w:t>
      </w:r>
    </w:p>
  </w:footnote>
  <w:footnote w:id="4">
    <w:p w14:paraId="4A820A9E" w14:textId="3F0E2BCB" w:rsidR="00191123" w:rsidRDefault="00191123" w:rsidP="00036B2E">
      <w:pPr>
        <w:pStyle w:val="FootnoteText"/>
        <w:spacing w:line="480" w:lineRule="auto"/>
      </w:pPr>
      <w:r>
        <w:rPr>
          <w:rStyle w:val="FootnoteReference"/>
        </w:rPr>
        <w:t>4</w:t>
      </w:r>
      <w:r>
        <w:t xml:space="preserve"> </w:t>
      </w:r>
      <w:r w:rsidRPr="0057038A">
        <w:rPr>
          <w:rFonts w:ascii="Garamond" w:hAnsi="Garamond"/>
          <w:sz w:val="24"/>
          <w:szCs w:val="24"/>
        </w:rPr>
        <w:t xml:space="preserve">Public preference for conflict could itself be a function of past decisions to influence education and media to inculcate more nationalist and hawkish messages (see Van Evera 1984, chaps 7–8), but the degree to which the contemporary military is constrained by </w:t>
      </w:r>
      <w:r w:rsidR="005A66AE">
        <w:rPr>
          <w:rFonts w:ascii="Garamond" w:hAnsi="Garamond"/>
          <w:sz w:val="24"/>
          <w:szCs w:val="24"/>
        </w:rPr>
        <w:t xml:space="preserve">those </w:t>
      </w:r>
      <w:r w:rsidRPr="0057038A">
        <w:rPr>
          <w:rFonts w:ascii="Garamond" w:hAnsi="Garamond"/>
          <w:sz w:val="24"/>
          <w:szCs w:val="24"/>
        </w:rPr>
        <w:t>past decisions is still worthy of empirical analysis.</w:t>
      </w:r>
    </w:p>
  </w:footnote>
  <w:footnote w:id="5">
    <w:p w14:paraId="21FA8B38" w14:textId="1A63C9F7" w:rsidR="009D55FB" w:rsidRDefault="009D55FB">
      <w:pPr>
        <w:pStyle w:val="FootnoteText"/>
      </w:pPr>
      <w:r>
        <w:rPr>
          <w:rStyle w:val="FootnoteReference"/>
        </w:rPr>
        <w:t>5</w:t>
      </w:r>
      <w:r>
        <w:t xml:space="preserve"> </w:t>
      </w:r>
      <w:r w:rsidRPr="0057038A">
        <w:rPr>
          <w:rFonts w:ascii="Garamond" w:hAnsi="Garamond" w:cstheme="majorBidi"/>
          <w:sz w:val="24"/>
          <w:szCs w:val="24"/>
        </w:rPr>
        <w:t>Based on South Asia Terrorism Portal (SATP) data.</w:t>
      </w:r>
    </w:p>
  </w:footnote>
  <w:footnote w:id="6">
    <w:p w14:paraId="3CD4A430" w14:textId="2C07A430" w:rsidR="0057793E" w:rsidRPr="00036B2E" w:rsidRDefault="0057793E" w:rsidP="00036B2E">
      <w:pPr>
        <w:pStyle w:val="FootnoteText"/>
        <w:spacing w:line="480" w:lineRule="auto"/>
        <w:rPr>
          <w:rFonts w:ascii="Garamond" w:hAnsi="Garamond"/>
          <w:sz w:val="24"/>
          <w:szCs w:val="24"/>
        </w:rPr>
      </w:pPr>
      <w:r w:rsidRPr="00036B2E">
        <w:rPr>
          <w:rStyle w:val="FootnoteReference"/>
          <w:rFonts w:ascii="Garamond" w:hAnsi="Garamond"/>
          <w:sz w:val="24"/>
          <w:szCs w:val="24"/>
        </w:rPr>
        <w:footnoteRef/>
      </w:r>
      <w:r w:rsidRPr="00036B2E">
        <w:rPr>
          <w:rFonts w:ascii="Garamond" w:hAnsi="Garamond"/>
          <w:sz w:val="24"/>
          <w:szCs w:val="24"/>
        </w:rPr>
        <w:t xml:space="preserve"> </w:t>
      </w:r>
      <w:r w:rsidRPr="00036B2E">
        <w:rPr>
          <w:rFonts w:ascii="Garamond" w:hAnsi="Garamond"/>
          <w:i/>
          <w:sz w:val="24"/>
          <w:szCs w:val="24"/>
        </w:rPr>
        <w:t>Dawn</w:t>
      </w:r>
      <w:r w:rsidRPr="00036B2E">
        <w:rPr>
          <w:rFonts w:ascii="Garamond" w:hAnsi="Garamond"/>
          <w:sz w:val="24"/>
          <w:szCs w:val="24"/>
        </w:rPr>
        <w:t xml:space="preserve">, 29 September 2016; </w:t>
      </w:r>
      <w:r w:rsidRPr="00036B2E">
        <w:rPr>
          <w:rFonts w:ascii="Garamond" w:hAnsi="Garamond"/>
          <w:i/>
          <w:sz w:val="24"/>
          <w:szCs w:val="24"/>
        </w:rPr>
        <w:t>Firstpost</w:t>
      </w:r>
      <w:r w:rsidRPr="00036B2E">
        <w:rPr>
          <w:rFonts w:ascii="Garamond" w:hAnsi="Garamond"/>
          <w:sz w:val="24"/>
          <w:szCs w:val="24"/>
        </w:rPr>
        <w:t>, 1 October 2016. This is similar to the argument by Carson 2016 about the utility of secrecy in escalation control.</w:t>
      </w:r>
    </w:p>
  </w:footnote>
  <w:footnote w:id="7">
    <w:p w14:paraId="258B1B20" w14:textId="7975D0F5" w:rsidR="0057793E" w:rsidRPr="00036B2E" w:rsidRDefault="0057793E" w:rsidP="00036B2E">
      <w:pPr>
        <w:pStyle w:val="FootnoteText"/>
        <w:spacing w:line="480" w:lineRule="auto"/>
        <w:rPr>
          <w:rFonts w:ascii="Garamond" w:hAnsi="Garamond" w:cstheme="majorBidi"/>
          <w:sz w:val="24"/>
          <w:szCs w:val="24"/>
        </w:rPr>
      </w:pPr>
      <w:r w:rsidRPr="00036B2E">
        <w:rPr>
          <w:rStyle w:val="FootnoteReference"/>
          <w:rFonts w:ascii="Garamond" w:hAnsi="Garamond" w:cstheme="majorBidi"/>
          <w:sz w:val="24"/>
          <w:szCs w:val="24"/>
        </w:rPr>
        <w:footnoteRef/>
      </w:r>
      <w:r w:rsidRPr="00036B2E">
        <w:rPr>
          <w:rFonts w:ascii="Garamond" w:hAnsi="Garamond" w:cstheme="majorBidi"/>
          <w:sz w:val="24"/>
          <w:szCs w:val="24"/>
        </w:rPr>
        <w:t xml:space="preserve"> The Kish grid method uses a pre-assigned table of random numbers to select members within a household to be interviewed or surveyed.</w:t>
      </w:r>
    </w:p>
  </w:footnote>
  <w:footnote w:id="8">
    <w:p w14:paraId="6BF1EC3E" w14:textId="660DE609" w:rsidR="0057793E" w:rsidRPr="00036B2E" w:rsidRDefault="0057793E" w:rsidP="00036B2E">
      <w:pPr>
        <w:pStyle w:val="FootnoteText"/>
        <w:spacing w:line="480" w:lineRule="auto"/>
        <w:rPr>
          <w:rFonts w:ascii="Garamond" w:hAnsi="Garamond"/>
          <w:sz w:val="24"/>
          <w:szCs w:val="24"/>
        </w:rPr>
      </w:pPr>
      <w:r w:rsidRPr="00036B2E">
        <w:rPr>
          <w:rStyle w:val="FootnoteReference"/>
          <w:rFonts w:ascii="Garamond" w:hAnsi="Garamond" w:cstheme="majorBidi"/>
          <w:sz w:val="24"/>
          <w:szCs w:val="24"/>
        </w:rPr>
        <w:footnoteRef/>
      </w:r>
      <w:r w:rsidRPr="00036B2E">
        <w:rPr>
          <w:rFonts w:ascii="Garamond" w:hAnsi="Garamond" w:cstheme="majorBidi"/>
          <w:sz w:val="24"/>
          <w:szCs w:val="24"/>
        </w:rPr>
        <w:t xml:space="preserve"> The survey was carried out on a tablet. Randomization was carried out by providing enumerators with a preselected list of random numbers that corresponded with survey versions to utilize at each survey site. Randomization succeeded in achieving balance on demographic, behavioral, and attitudinal covariates (see Appendix 2). </w:t>
      </w:r>
    </w:p>
  </w:footnote>
  <w:footnote w:id="9">
    <w:p w14:paraId="4FD06B26" w14:textId="4911D07D" w:rsidR="0057793E" w:rsidRPr="00036B2E" w:rsidRDefault="0057793E" w:rsidP="00036B2E">
      <w:pPr>
        <w:pStyle w:val="FootnoteText"/>
        <w:spacing w:line="480" w:lineRule="auto"/>
        <w:rPr>
          <w:rFonts w:ascii="Garamond" w:hAnsi="Garamond"/>
          <w:sz w:val="24"/>
          <w:szCs w:val="24"/>
        </w:rPr>
      </w:pPr>
      <w:r w:rsidRPr="00036B2E">
        <w:rPr>
          <w:rStyle w:val="FootnoteReference"/>
          <w:rFonts w:ascii="Garamond" w:hAnsi="Garamond"/>
          <w:sz w:val="24"/>
          <w:szCs w:val="24"/>
        </w:rPr>
        <w:footnoteRef/>
      </w:r>
      <w:r w:rsidRPr="00036B2E">
        <w:rPr>
          <w:rFonts w:ascii="Garamond" w:hAnsi="Garamond"/>
          <w:sz w:val="24"/>
          <w:szCs w:val="24"/>
        </w:rPr>
        <w:t xml:space="preserve"> Given the size, budget, and influence of the Army relative to other military services, the Army Chief is the effective head of the Pakistan military.</w:t>
      </w:r>
    </w:p>
  </w:footnote>
  <w:footnote w:id="10">
    <w:p w14:paraId="0D576F16" w14:textId="7CFD7082" w:rsidR="0057793E" w:rsidRPr="00036B2E" w:rsidRDefault="0057793E" w:rsidP="00036B2E">
      <w:pPr>
        <w:pStyle w:val="FootnoteText"/>
        <w:spacing w:line="480" w:lineRule="auto"/>
        <w:rPr>
          <w:rFonts w:ascii="Garamond" w:hAnsi="Garamond"/>
          <w:sz w:val="24"/>
          <w:szCs w:val="24"/>
        </w:rPr>
      </w:pPr>
      <w:r w:rsidRPr="00036B2E">
        <w:rPr>
          <w:rStyle w:val="FootnoteReference"/>
          <w:rFonts w:ascii="Garamond" w:hAnsi="Garamond"/>
          <w:sz w:val="24"/>
          <w:szCs w:val="24"/>
        </w:rPr>
        <w:footnoteRef/>
      </w:r>
      <w:r w:rsidRPr="00036B2E">
        <w:rPr>
          <w:rFonts w:ascii="Garamond" w:hAnsi="Garamond"/>
          <w:sz w:val="24"/>
          <w:szCs w:val="24"/>
        </w:rPr>
        <w:t xml:space="preserve"> See Appendix 3 for robustness checks, including using a 1-7 ordinal measure instead of the dichotomous measure reported. </w:t>
      </w:r>
    </w:p>
  </w:footnote>
  <w:footnote w:id="11">
    <w:p w14:paraId="1F54079F" w14:textId="77777777" w:rsidR="005B3C66" w:rsidRPr="00BA318D" w:rsidRDefault="005B3C66" w:rsidP="005B3C66">
      <w:pPr>
        <w:pStyle w:val="Bibliography"/>
        <w:rPr>
          <w:rFonts w:ascii="Garamond" w:hAnsi="Garamond"/>
          <w:sz w:val="20"/>
          <w:szCs w:val="20"/>
        </w:rPr>
      </w:pPr>
      <w:r w:rsidRPr="00BA318D">
        <w:rPr>
          <w:rStyle w:val="FootnoteReference"/>
          <w:rFonts w:ascii="Garamond" w:hAnsi="Garamond"/>
          <w:sz w:val="20"/>
          <w:szCs w:val="20"/>
        </w:rPr>
        <w:footnoteRef/>
      </w:r>
      <w:r w:rsidRPr="00BA318D">
        <w:rPr>
          <w:rFonts w:ascii="Garamond" w:hAnsi="Garamond"/>
          <w:sz w:val="20"/>
          <w:szCs w:val="20"/>
        </w:rPr>
        <w:t xml:space="preserve"> David McKenzie, “Tools of the Trade: A Joint Test of Orthogonality when Testing for Balance,” February 4, 2015, recommends this approach. Separately, Matthew S. Levendusky and Michael C. Horowitz, “When Backing Down Is the Right Decision: Partisanship, New Information, and Audience Costs. </w:t>
      </w:r>
      <w:r w:rsidRPr="00BA318D">
        <w:rPr>
          <w:rFonts w:ascii="Garamond" w:hAnsi="Garamond"/>
          <w:i/>
          <w:iCs/>
          <w:sz w:val="20"/>
          <w:szCs w:val="20"/>
        </w:rPr>
        <w:t>The Journal of Politics</w:t>
      </w:r>
      <w:r w:rsidRPr="00BA318D">
        <w:rPr>
          <w:rFonts w:ascii="Garamond" w:hAnsi="Garamond"/>
          <w:sz w:val="20"/>
          <w:szCs w:val="20"/>
        </w:rPr>
        <w:t xml:space="preserve"> 74, no. 2 (2012):323–338, use this</w:t>
      </w:r>
      <w:r>
        <w:rPr>
          <w:rFonts w:ascii="Garamond" w:hAnsi="Garamond"/>
          <w:sz w:val="20"/>
          <w:szCs w:val="20"/>
        </w:rPr>
        <w:t xml:space="preserve"> approach when testing random assignment in a similar survey experimental design.</w:t>
      </w:r>
    </w:p>
    <w:p w14:paraId="75B52A83" w14:textId="77777777" w:rsidR="005B3C66" w:rsidRDefault="005B3C66" w:rsidP="005B3C6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C74CD" w14:textId="34F3D810" w:rsidR="0057793E" w:rsidRPr="000204FA" w:rsidRDefault="0057793E" w:rsidP="000204FA">
    <w:pPr>
      <w:pStyle w:val="Header"/>
      <w:jc w:val="center"/>
      <w:rPr>
        <w:rFonts w:ascii="Garamond" w:hAnsi="Garamond"/>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6B8"/>
    <w:multiLevelType w:val="hybridMultilevel"/>
    <w:tmpl w:val="0CCC59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964CF"/>
    <w:multiLevelType w:val="hybridMultilevel"/>
    <w:tmpl w:val="BC4C512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12022"/>
    <w:multiLevelType w:val="hybridMultilevel"/>
    <w:tmpl w:val="DA5A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173ED"/>
    <w:multiLevelType w:val="hybridMultilevel"/>
    <w:tmpl w:val="6EAC3744"/>
    <w:lvl w:ilvl="0" w:tplc="2E2E19A6">
      <w:start w:val="1"/>
      <w:numFmt w:val="upp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A572464"/>
    <w:multiLevelType w:val="hybridMultilevel"/>
    <w:tmpl w:val="CAFCB1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B8642C9"/>
    <w:multiLevelType w:val="hybridMultilevel"/>
    <w:tmpl w:val="D0B40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20D"/>
    <w:rsid w:val="000000FC"/>
    <w:rsid w:val="000009EF"/>
    <w:rsid w:val="00001806"/>
    <w:rsid w:val="00001A27"/>
    <w:rsid w:val="00003F8B"/>
    <w:rsid w:val="00004618"/>
    <w:rsid w:val="000049EE"/>
    <w:rsid w:val="00005BCE"/>
    <w:rsid w:val="00006497"/>
    <w:rsid w:val="00011166"/>
    <w:rsid w:val="000145B2"/>
    <w:rsid w:val="0001471E"/>
    <w:rsid w:val="000204FA"/>
    <w:rsid w:val="0002065B"/>
    <w:rsid w:val="00020D94"/>
    <w:rsid w:val="00021068"/>
    <w:rsid w:val="00021B89"/>
    <w:rsid w:val="00022D0D"/>
    <w:rsid w:val="000244FB"/>
    <w:rsid w:val="00024D4B"/>
    <w:rsid w:val="00026ED0"/>
    <w:rsid w:val="00030CCA"/>
    <w:rsid w:val="0003194C"/>
    <w:rsid w:val="000328A4"/>
    <w:rsid w:val="00034E23"/>
    <w:rsid w:val="00036210"/>
    <w:rsid w:val="00036772"/>
    <w:rsid w:val="00036B2E"/>
    <w:rsid w:val="000426A2"/>
    <w:rsid w:val="00042DDA"/>
    <w:rsid w:val="00043606"/>
    <w:rsid w:val="00043F5F"/>
    <w:rsid w:val="000464B0"/>
    <w:rsid w:val="00046CEF"/>
    <w:rsid w:val="0004711D"/>
    <w:rsid w:val="00054083"/>
    <w:rsid w:val="000549ED"/>
    <w:rsid w:val="00056C95"/>
    <w:rsid w:val="00060940"/>
    <w:rsid w:val="000619A3"/>
    <w:rsid w:val="000649FA"/>
    <w:rsid w:val="000666C7"/>
    <w:rsid w:val="00071FC8"/>
    <w:rsid w:val="00072F5A"/>
    <w:rsid w:val="00073131"/>
    <w:rsid w:val="0007323C"/>
    <w:rsid w:val="000737C2"/>
    <w:rsid w:val="00076845"/>
    <w:rsid w:val="00080B7A"/>
    <w:rsid w:val="0008187C"/>
    <w:rsid w:val="000828FD"/>
    <w:rsid w:val="00083804"/>
    <w:rsid w:val="00085B1C"/>
    <w:rsid w:val="000903BC"/>
    <w:rsid w:val="00090D3E"/>
    <w:rsid w:val="0009296A"/>
    <w:rsid w:val="000933AA"/>
    <w:rsid w:val="000A2246"/>
    <w:rsid w:val="000A22F8"/>
    <w:rsid w:val="000A6B10"/>
    <w:rsid w:val="000B32F5"/>
    <w:rsid w:val="000B4370"/>
    <w:rsid w:val="000B448C"/>
    <w:rsid w:val="000B5589"/>
    <w:rsid w:val="000C0487"/>
    <w:rsid w:val="000C22D2"/>
    <w:rsid w:val="000C271E"/>
    <w:rsid w:val="000C28F5"/>
    <w:rsid w:val="000C2D4E"/>
    <w:rsid w:val="000C4542"/>
    <w:rsid w:val="000C6B2D"/>
    <w:rsid w:val="000C76A0"/>
    <w:rsid w:val="000D154A"/>
    <w:rsid w:val="000D1CE5"/>
    <w:rsid w:val="000D2DDF"/>
    <w:rsid w:val="000D60BA"/>
    <w:rsid w:val="000E0847"/>
    <w:rsid w:val="000E70A7"/>
    <w:rsid w:val="000F0126"/>
    <w:rsid w:val="000F072D"/>
    <w:rsid w:val="000F3FFB"/>
    <w:rsid w:val="000F4160"/>
    <w:rsid w:val="000F4313"/>
    <w:rsid w:val="000F5BAA"/>
    <w:rsid w:val="000F5E3A"/>
    <w:rsid w:val="000F7998"/>
    <w:rsid w:val="00100FBE"/>
    <w:rsid w:val="00102EBE"/>
    <w:rsid w:val="00104A4C"/>
    <w:rsid w:val="00105B26"/>
    <w:rsid w:val="0010798B"/>
    <w:rsid w:val="00117253"/>
    <w:rsid w:val="00120964"/>
    <w:rsid w:val="001209AF"/>
    <w:rsid w:val="001238C5"/>
    <w:rsid w:val="00127825"/>
    <w:rsid w:val="00130546"/>
    <w:rsid w:val="001306AE"/>
    <w:rsid w:val="001314F3"/>
    <w:rsid w:val="00131BED"/>
    <w:rsid w:val="00132941"/>
    <w:rsid w:val="00133804"/>
    <w:rsid w:val="0013789B"/>
    <w:rsid w:val="00143AF9"/>
    <w:rsid w:val="00144584"/>
    <w:rsid w:val="00145767"/>
    <w:rsid w:val="00145DCD"/>
    <w:rsid w:val="0014765A"/>
    <w:rsid w:val="00150222"/>
    <w:rsid w:val="001514E5"/>
    <w:rsid w:val="00152036"/>
    <w:rsid w:val="00160B3C"/>
    <w:rsid w:val="00161A3B"/>
    <w:rsid w:val="00161B25"/>
    <w:rsid w:val="00165E88"/>
    <w:rsid w:val="00167EEA"/>
    <w:rsid w:val="001701D4"/>
    <w:rsid w:val="00170A96"/>
    <w:rsid w:val="00171316"/>
    <w:rsid w:val="00172304"/>
    <w:rsid w:val="00174A37"/>
    <w:rsid w:val="00177277"/>
    <w:rsid w:val="00183951"/>
    <w:rsid w:val="001865DE"/>
    <w:rsid w:val="001901FD"/>
    <w:rsid w:val="00191123"/>
    <w:rsid w:val="00192BE6"/>
    <w:rsid w:val="00195C76"/>
    <w:rsid w:val="001A16B2"/>
    <w:rsid w:val="001A26B6"/>
    <w:rsid w:val="001A3D4C"/>
    <w:rsid w:val="001A727C"/>
    <w:rsid w:val="001B099A"/>
    <w:rsid w:val="001B1E66"/>
    <w:rsid w:val="001B755D"/>
    <w:rsid w:val="001B7822"/>
    <w:rsid w:val="001C1A04"/>
    <w:rsid w:val="001C60DE"/>
    <w:rsid w:val="001C6D0E"/>
    <w:rsid w:val="001C7BE5"/>
    <w:rsid w:val="001D100A"/>
    <w:rsid w:val="001D19D2"/>
    <w:rsid w:val="001D4722"/>
    <w:rsid w:val="001D57F1"/>
    <w:rsid w:val="001E1973"/>
    <w:rsid w:val="001E31BD"/>
    <w:rsid w:val="001E4535"/>
    <w:rsid w:val="001E5892"/>
    <w:rsid w:val="001E63C1"/>
    <w:rsid w:val="001E716C"/>
    <w:rsid w:val="001E744B"/>
    <w:rsid w:val="001F0352"/>
    <w:rsid w:val="001F4C73"/>
    <w:rsid w:val="001F5040"/>
    <w:rsid w:val="00200018"/>
    <w:rsid w:val="0020110F"/>
    <w:rsid w:val="00202322"/>
    <w:rsid w:val="00204DFC"/>
    <w:rsid w:val="00205EF3"/>
    <w:rsid w:val="00207049"/>
    <w:rsid w:val="00207370"/>
    <w:rsid w:val="002128C5"/>
    <w:rsid w:val="00212958"/>
    <w:rsid w:val="002130B3"/>
    <w:rsid w:val="0021419F"/>
    <w:rsid w:val="00215D46"/>
    <w:rsid w:val="00216152"/>
    <w:rsid w:val="00216C69"/>
    <w:rsid w:val="00221B13"/>
    <w:rsid w:val="0022242D"/>
    <w:rsid w:val="00222782"/>
    <w:rsid w:val="00222C41"/>
    <w:rsid w:val="00223F82"/>
    <w:rsid w:val="00230F5C"/>
    <w:rsid w:val="002332A5"/>
    <w:rsid w:val="00234EB3"/>
    <w:rsid w:val="00237E0C"/>
    <w:rsid w:val="0024010D"/>
    <w:rsid w:val="00242AEF"/>
    <w:rsid w:val="00242B5E"/>
    <w:rsid w:val="00247623"/>
    <w:rsid w:val="00251FA0"/>
    <w:rsid w:val="0025405F"/>
    <w:rsid w:val="00254E17"/>
    <w:rsid w:val="00256547"/>
    <w:rsid w:val="00257A7E"/>
    <w:rsid w:val="00272AED"/>
    <w:rsid w:val="002744FB"/>
    <w:rsid w:val="00275AC8"/>
    <w:rsid w:val="0027734B"/>
    <w:rsid w:val="00277352"/>
    <w:rsid w:val="00277D70"/>
    <w:rsid w:val="0028333A"/>
    <w:rsid w:val="0028371B"/>
    <w:rsid w:val="00285044"/>
    <w:rsid w:val="002854B2"/>
    <w:rsid w:val="0028745C"/>
    <w:rsid w:val="002905DA"/>
    <w:rsid w:val="00292560"/>
    <w:rsid w:val="00292D38"/>
    <w:rsid w:val="00292EDC"/>
    <w:rsid w:val="00293052"/>
    <w:rsid w:val="002959E2"/>
    <w:rsid w:val="002A04BD"/>
    <w:rsid w:val="002A14B9"/>
    <w:rsid w:val="002A1D59"/>
    <w:rsid w:val="002A2020"/>
    <w:rsid w:val="002A3F83"/>
    <w:rsid w:val="002A46A6"/>
    <w:rsid w:val="002A4B31"/>
    <w:rsid w:val="002A4B8E"/>
    <w:rsid w:val="002A4CE3"/>
    <w:rsid w:val="002A605D"/>
    <w:rsid w:val="002A736C"/>
    <w:rsid w:val="002B026C"/>
    <w:rsid w:val="002B2C52"/>
    <w:rsid w:val="002B4520"/>
    <w:rsid w:val="002B4A0D"/>
    <w:rsid w:val="002B5896"/>
    <w:rsid w:val="002B5CD4"/>
    <w:rsid w:val="002B7D15"/>
    <w:rsid w:val="002C535A"/>
    <w:rsid w:val="002C6861"/>
    <w:rsid w:val="002D4B7A"/>
    <w:rsid w:val="002D71E6"/>
    <w:rsid w:val="002E0DBA"/>
    <w:rsid w:val="002E1FC3"/>
    <w:rsid w:val="002E34C2"/>
    <w:rsid w:val="002E46C5"/>
    <w:rsid w:val="002E51D3"/>
    <w:rsid w:val="002E5B60"/>
    <w:rsid w:val="002F2B69"/>
    <w:rsid w:val="002F4D6F"/>
    <w:rsid w:val="002F5EBE"/>
    <w:rsid w:val="002F6B04"/>
    <w:rsid w:val="0030011B"/>
    <w:rsid w:val="00300A91"/>
    <w:rsid w:val="00302249"/>
    <w:rsid w:val="00302942"/>
    <w:rsid w:val="003036B7"/>
    <w:rsid w:val="003048DF"/>
    <w:rsid w:val="00304908"/>
    <w:rsid w:val="00305B5B"/>
    <w:rsid w:val="00306953"/>
    <w:rsid w:val="0030780C"/>
    <w:rsid w:val="003113EE"/>
    <w:rsid w:val="00314D6A"/>
    <w:rsid w:val="00315EC3"/>
    <w:rsid w:val="00316B27"/>
    <w:rsid w:val="003171C0"/>
    <w:rsid w:val="00320482"/>
    <w:rsid w:val="00322349"/>
    <w:rsid w:val="003229A2"/>
    <w:rsid w:val="00322D49"/>
    <w:rsid w:val="003257F9"/>
    <w:rsid w:val="003308FD"/>
    <w:rsid w:val="00330D5E"/>
    <w:rsid w:val="003325E4"/>
    <w:rsid w:val="00332F4C"/>
    <w:rsid w:val="003333FE"/>
    <w:rsid w:val="00334246"/>
    <w:rsid w:val="0034077C"/>
    <w:rsid w:val="00344CD3"/>
    <w:rsid w:val="00344DD6"/>
    <w:rsid w:val="003472BF"/>
    <w:rsid w:val="0035000B"/>
    <w:rsid w:val="0035066C"/>
    <w:rsid w:val="003521C2"/>
    <w:rsid w:val="0035424F"/>
    <w:rsid w:val="003579C8"/>
    <w:rsid w:val="003579E6"/>
    <w:rsid w:val="003620EC"/>
    <w:rsid w:val="003624CF"/>
    <w:rsid w:val="00362B5F"/>
    <w:rsid w:val="00370A87"/>
    <w:rsid w:val="00371603"/>
    <w:rsid w:val="00373419"/>
    <w:rsid w:val="00375A6E"/>
    <w:rsid w:val="0037662D"/>
    <w:rsid w:val="00380281"/>
    <w:rsid w:val="003833B1"/>
    <w:rsid w:val="00384BCF"/>
    <w:rsid w:val="003864C6"/>
    <w:rsid w:val="00390247"/>
    <w:rsid w:val="0039063C"/>
    <w:rsid w:val="00390BB6"/>
    <w:rsid w:val="0039137F"/>
    <w:rsid w:val="0039202C"/>
    <w:rsid w:val="00393ADB"/>
    <w:rsid w:val="00393B4B"/>
    <w:rsid w:val="00393BA0"/>
    <w:rsid w:val="00393CFD"/>
    <w:rsid w:val="0039405B"/>
    <w:rsid w:val="003956C1"/>
    <w:rsid w:val="00395F4A"/>
    <w:rsid w:val="003977A1"/>
    <w:rsid w:val="003A0317"/>
    <w:rsid w:val="003A351B"/>
    <w:rsid w:val="003A3ABD"/>
    <w:rsid w:val="003A5C61"/>
    <w:rsid w:val="003A6DD7"/>
    <w:rsid w:val="003B0747"/>
    <w:rsid w:val="003B16F2"/>
    <w:rsid w:val="003B19D4"/>
    <w:rsid w:val="003B36FF"/>
    <w:rsid w:val="003B56C4"/>
    <w:rsid w:val="003C354D"/>
    <w:rsid w:val="003C4470"/>
    <w:rsid w:val="003C52D2"/>
    <w:rsid w:val="003C5958"/>
    <w:rsid w:val="003C6E37"/>
    <w:rsid w:val="003D2FAE"/>
    <w:rsid w:val="003D649F"/>
    <w:rsid w:val="003E325E"/>
    <w:rsid w:val="003E456C"/>
    <w:rsid w:val="003E48B0"/>
    <w:rsid w:val="003E60CC"/>
    <w:rsid w:val="003E6ACD"/>
    <w:rsid w:val="003F031E"/>
    <w:rsid w:val="003F17AF"/>
    <w:rsid w:val="003F2FBC"/>
    <w:rsid w:val="003F39E8"/>
    <w:rsid w:val="003F3B2A"/>
    <w:rsid w:val="003F7271"/>
    <w:rsid w:val="004005D6"/>
    <w:rsid w:val="00400AE6"/>
    <w:rsid w:val="00400E75"/>
    <w:rsid w:val="00400E8E"/>
    <w:rsid w:val="00403265"/>
    <w:rsid w:val="00404579"/>
    <w:rsid w:val="00404713"/>
    <w:rsid w:val="004104F7"/>
    <w:rsid w:val="0041086E"/>
    <w:rsid w:val="00410C09"/>
    <w:rsid w:val="004120A6"/>
    <w:rsid w:val="00413A6A"/>
    <w:rsid w:val="00417990"/>
    <w:rsid w:val="004200A4"/>
    <w:rsid w:val="004213F4"/>
    <w:rsid w:val="00422445"/>
    <w:rsid w:val="00423AC6"/>
    <w:rsid w:val="00427B70"/>
    <w:rsid w:val="00430D77"/>
    <w:rsid w:val="00431064"/>
    <w:rsid w:val="0043242C"/>
    <w:rsid w:val="004341A8"/>
    <w:rsid w:val="00436205"/>
    <w:rsid w:val="00437126"/>
    <w:rsid w:val="004442EC"/>
    <w:rsid w:val="00444A61"/>
    <w:rsid w:val="00446A31"/>
    <w:rsid w:val="0044717C"/>
    <w:rsid w:val="00451544"/>
    <w:rsid w:val="00452EB9"/>
    <w:rsid w:val="00453315"/>
    <w:rsid w:val="00454D65"/>
    <w:rsid w:val="004559A7"/>
    <w:rsid w:val="00461FE8"/>
    <w:rsid w:val="0046335E"/>
    <w:rsid w:val="00463427"/>
    <w:rsid w:val="00464520"/>
    <w:rsid w:val="00465A84"/>
    <w:rsid w:val="00467243"/>
    <w:rsid w:val="0046799A"/>
    <w:rsid w:val="004712AD"/>
    <w:rsid w:val="00471998"/>
    <w:rsid w:val="004729D4"/>
    <w:rsid w:val="00472DC7"/>
    <w:rsid w:val="004737EC"/>
    <w:rsid w:val="004738B6"/>
    <w:rsid w:val="00477509"/>
    <w:rsid w:val="00480EA5"/>
    <w:rsid w:val="00481812"/>
    <w:rsid w:val="004820B0"/>
    <w:rsid w:val="00482212"/>
    <w:rsid w:val="004830AE"/>
    <w:rsid w:val="00485B8F"/>
    <w:rsid w:val="0048627B"/>
    <w:rsid w:val="004901B7"/>
    <w:rsid w:val="0049044C"/>
    <w:rsid w:val="00491854"/>
    <w:rsid w:val="004933C8"/>
    <w:rsid w:val="0049381C"/>
    <w:rsid w:val="00494F19"/>
    <w:rsid w:val="004952D7"/>
    <w:rsid w:val="00497E23"/>
    <w:rsid w:val="004A3849"/>
    <w:rsid w:val="004A38CF"/>
    <w:rsid w:val="004A573D"/>
    <w:rsid w:val="004A716B"/>
    <w:rsid w:val="004B39DF"/>
    <w:rsid w:val="004B3C2A"/>
    <w:rsid w:val="004B4698"/>
    <w:rsid w:val="004B5A98"/>
    <w:rsid w:val="004B6628"/>
    <w:rsid w:val="004B6CA1"/>
    <w:rsid w:val="004C018A"/>
    <w:rsid w:val="004C3BD4"/>
    <w:rsid w:val="004C5266"/>
    <w:rsid w:val="004C5CD5"/>
    <w:rsid w:val="004D0878"/>
    <w:rsid w:val="004D1052"/>
    <w:rsid w:val="004D559B"/>
    <w:rsid w:val="004D6B79"/>
    <w:rsid w:val="004D72E9"/>
    <w:rsid w:val="004D7F6B"/>
    <w:rsid w:val="004E023F"/>
    <w:rsid w:val="004E1988"/>
    <w:rsid w:val="004E20F4"/>
    <w:rsid w:val="004E23A6"/>
    <w:rsid w:val="004E4048"/>
    <w:rsid w:val="004E7240"/>
    <w:rsid w:val="004E7B47"/>
    <w:rsid w:val="004F13EE"/>
    <w:rsid w:val="004F1C92"/>
    <w:rsid w:val="004F6E1C"/>
    <w:rsid w:val="00502B77"/>
    <w:rsid w:val="00503824"/>
    <w:rsid w:val="0050514D"/>
    <w:rsid w:val="00505B56"/>
    <w:rsid w:val="005069D8"/>
    <w:rsid w:val="00507F47"/>
    <w:rsid w:val="00512AE9"/>
    <w:rsid w:val="00513AA5"/>
    <w:rsid w:val="00515084"/>
    <w:rsid w:val="00515345"/>
    <w:rsid w:val="00515F28"/>
    <w:rsid w:val="00520BB0"/>
    <w:rsid w:val="00524612"/>
    <w:rsid w:val="00524B7C"/>
    <w:rsid w:val="0052678A"/>
    <w:rsid w:val="00526D59"/>
    <w:rsid w:val="00530553"/>
    <w:rsid w:val="00530BBC"/>
    <w:rsid w:val="00531594"/>
    <w:rsid w:val="00531A5F"/>
    <w:rsid w:val="0053239F"/>
    <w:rsid w:val="005329C7"/>
    <w:rsid w:val="0053542E"/>
    <w:rsid w:val="005361E0"/>
    <w:rsid w:val="00537E5A"/>
    <w:rsid w:val="00544632"/>
    <w:rsid w:val="005450AB"/>
    <w:rsid w:val="0054525E"/>
    <w:rsid w:val="00550320"/>
    <w:rsid w:val="00551438"/>
    <w:rsid w:val="00554DAF"/>
    <w:rsid w:val="00555AD2"/>
    <w:rsid w:val="00556886"/>
    <w:rsid w:val="005569B3"/>
    <w:rsid w:val="005610D9"/>
    <w:rsid w:val="005618D4"/>
    <w:rsid w:val="005627C5"/>
    <w:rsid w:val="00563161"/>
    <w:rsid w:val="00564746"/>
    <w:rsid w:val="005675D2"/>
    <w:rsid w:val="00571FD2"/>
    <w:rsid w:val="00572AB9"/>
    <w:rsid w:val="00575DF5"/>
    <w:rsid w:val="00575FD7"/>
    <w:rsid w:val="00576F76"/>
    <w:rsid w:val="005772A9"/>
    <w:rsid w:val="0057793E"/>
    <w:rsid w:val="00581061"/>
    <w:rsid w:val="00581625"/>
    <w:rsid w:val="005823B7"/>
    <w:rsid w:val="005923CA"/>
    <w:rsid w:val="00593776"/>
    <w:rsid w:val="005949E1"/>
    <w:rsid w:val="005979FA"/>
    <w:rsid w:val="005A1BCC"/>
    <w:rsid w:val="005A2A65"/>
    <w:rsid w:val="005A406C"/>
    <w:rsid w:val="005A58B6"/>
    <w:rsid w:val="005A66AE"/>
    <w:rsid w:val="005B0AE9"/>
    <w:rsid w:val="005B3C66"/>
    <w:rsid w:val="005B7D41"/>
    <w:rsid w:val="005C1C4A"/>
    <w:rsid w:val="005C1EC2"/>
    <w:rsid w:val="005C2361"/>
    <w:rsid w:val="005C39FA"/>
    <w:rsid w:val="005D0523"/>
    <w:rsid w:val="005D08EC"/>
    <w:rsid w:val="005D3804"/>
    <w:rsid w:val="005D4962"/>
    <w:rsid w:val="005D7E01"/>
    <w:rsid w:val="005E02F1"/>
    <w:rsid w:val="005E27BC"/>
    <w:rsid w:val="005E41A1"/>
    <w:rsid w:val="005E6283"/>
    <w:rsid w:val="005F2D32"/>
    <w:rsid w:val="005F46F1"/>
    <w:rsid w:val="005F4C79"/>
    <w:rsid w:val="005F4FC9"/>
    <w:rsid w:val="00602574"/>
    <w:rsid w:val="00602C2A"/>
    <w:rsid w:val="00605386"/>
    <w:rsid w:val="00606561"/>
    <w:rsid w:val="00607D07"/>
    <w:rsid w:val="006109EE"/>
    <w:rsid w:val="0061109C"/>
    <w:rsid w:val="00612750"/>
    <w:rsid w:val="006172B7"/>
    <w:rsid w:val="006210C3"/>
    <w:rsid w:val="006211EE"/>
    <w:rsid w:val="00623287"/>
    <w:rsid w:val="00623E12"/>
    <w:rsid w:val="00623EEC"/>
    <w:rsid w:val="00624369"/>
    <w:rsid w:val="006335B4"/>
    <w:rsid w:val="0063486D"/>
    <w:rsid w:val="0063670E"/>
    <w:rsid w:val="006376EB"/>
    <w:rsid w:val="00637D25"/>
    <w:rsid w:val="0064087C"/>
    <w:rsid w:val="0064271F"/>
    <w:rsid w:val="00642819"/>
    <w:rsid w:val="00642C7B"/>
    <w:rsid w:val="00643C8C"/>
    <w:rsid w:val="00644BF1"/>
    <w:rsid w:val="00645561"/>
    <w:rsid w:val="00646675"/>
    <w:rsid w:val="00657536"/>
    <w:rsid w:val="006601DB"/>
    <w:rsid w:val="00662808"/>
    <w:rsid w:val="00662896"/>
    <w:rsid w:val="0066322C"/>
    <w:rsid w:val="006633C5"/>
    <w:rsid w:val="00664A44"/>
    <w:rsid w:val="0066514D"/>
    <w:rsid w:val="006651D6"/>
    <w:rsid w:val="006652A9"/>
    <w:rsid w:val="0066544F"/>
    <w:rsid w:val="00667B2C"/>
    <w:rsid w:val="0067098D"/>
    <w:rsid w:val="00670D82"/>
    <w:rsid w:val="00674265"/>
    <w:rsid w:val="006753D8"/>
    <w:rsid w:val="00675E5D"/>
    <w:rsid w:val="00680752"/>
    <w:rsid w:val="00681120"/>
    <w:rsid w:val="00681EBF"/>
    <w:rsid w:val="006821F8"/>
    <w:rsid w:val="006835D0"/>
    <w:rsid w:val="006855CE"/>
    <w:rsid w:val="0068571B"/>
    <w:rsid w:val="00685A46"/>
    <w:rsid w:val="006866CA"/>
    <w:rsid w:val="00686BE6"/>
    <w:rsid w:val="00694D7E"/>
    <w:rsid w:val="00694FCD"/>
    <w:rsid w:val="0069633A"/>
    <w:rsid w:val="006A091A"/>
    <w:rsid w:val="006A0ABE"/>
    <w:rsid w:val="006A1AE4"/>
    <w:rsid w:val="006A23FE"/>
    <w:rsid w:val="006A3710"/>
    <w:rsid w:val="006A3897"/>
    <w:rsid w:val="006A3FF6"/>
    <w:rsid w:val="006A42B7"/>
    <w:rsid w:val="006A7954"/>
    <w:rsid w:val="006B189B"/>
    <w:rsid w:val="006B5199"/>
    <w:rsid w:val="006B61B8"/>
    <w:rsid w:val="006C2992"/>
    <w:rsid w:val="006C2D3B"/>
    <w:rsid w:val="006C4E3F"/>
    <w:rsid w:val="006C7158"/>
    <w:rsid w:val="006C7575"/>
    <w:rsid w:val="006C7B6E"/>
    <w:rsid w:val="006D0A96"/>
    <w:rsid w:val="006D3187"/>
    <w:rsid w:val="006D4F71"/>
    <w:rsid w:val="006D6D56"/>
    <w:rsid w:val="006F099B"/>
    <w:rsid w:val="006F1D81"/>
    <w:rsid w:val="006F2967"/>
    <w:rsid w:val="006F428E"/>
    <w:rsid w:val="006F7548"/>
    <w:rsid w:val="00702CE6"/>
    <w:rsid w:val="00704301"/>
    <w:rsid w:val="00707323"/>
    <w:rsid w:val="00710B1B"/>
    <w:rsid w:val="00711C31"/>
    <w:rsid w:val="007123C4"/>
    <w:rsid w:val="00712975"/>
    <w:rsid w:val="007178AC"/>
    <w:rsid w:val="007226F9"/>
    <w:rsid w:val="00722B1E"/>
    <w:rsid w:val="00722B3C"/>
    <w:rsid w:val="0072355C"/>
    <w:rsid w:val="0072418C"/>
    <w:rsid w:val="00724CC1"/>
    <w:rsid w:val="00724E29"/>
    <w:rsid w:val="00727C38"/>
    <w:rsid w:val="00731791"/>
    <w:rsid w:val="007377C3"/>
    <w:rsid w:val="00741745"/>
    <w:rsid w:val="0074377E"/>
    <w:rsid w:val="00744544"/>
    <w:rsid w:val="00745A8D"/>
    <w:rsid w:val="00746288"/>
    <w:rsid w:val="007465F8"/>
    <w:rsid w:val="00747746"/>
    <w:rsid w:val="00751956"/>
    <w:rsid w:val="00752173"/>
    <w:rsid w:val="007532E5"/>
    <w:rsid w:val="00753D95"/>
    <w:rsid w:val="00762D7B"/>
    <w:rsid w:val="007634D4"/>
    <w:rsid w:val="00763549"/>
    <w:rsid w:val="007637C6"/>
    <w:rsid w:val="007709D3"/>
    <w:rsid w:val="007713B2"/>
    <w:rsid w:val="00773405"/>
    <w:rsid w:val="007741F2"/>
    <w:rsid w:val="00774D1F"/>
    <w:rsid w:val="00774F0E"/>
    <w:rsid w:val="00777BF4"/>
    <w:rsid w:val="00784229"/>
    <w:rsid w:val="0078443B"/>
    <w:rsid w:val="0079098B"/>
    <w:rsid w:val="00792F89"/>
    <w:rsid w:val="00793FDD"/>
    <w:rsid w:val="00794E81"/>
    <w:rsid w:val="00795A83"/>
    <w:rsid w:val="00797768"/>
    <w:rsid w:val="007A33BB"/>
    <w:rsid w:val="007A3789"/>
    <w:rsid w:val="007A4DCE"/>
    <w:rsid w:val="007A5EB9"/>
    <w:rsid w:val="007A735E"/>
    <w:rsid w:val="007A739B"/>
    <w:rsid w:val="007B64F8"/>
    <w:rsid w:val="007B796D"/>
    <w:rsid w:val="007C6226"/>
    <w:rsid w:val="007D0AE9"/>
    <w:rsid w:val="007D1D69"/>
    <w:rsid w:val="007D2D71"/>
    <w:rsid w:val="007D5ED9"/>
    <w:rsid w:val="007E176F"/>
    <w:rsid w:val="007E2CE6"/>
    <w:rsid w:val="007E5EBA"/>
    <w:rsid w:val="007E7BD7"/>
    <w:rsid w:val="007F2081"/>
    <w:rsid w:val="007F2A4A"/>
    <w:rsid w:val="007F43D7"/>
    <w:rsid w:val="007F77AD"/>
    <w:rsid w:val="0080154A"/>
    <w:rsid w:val="008026C3"/>
    <w:rsid w:val="00802ACE"/>
    <w:rsid w:val="0080484F"/>
    <w:rsid w:val="00805655"/>
    <w:rsid w:val="00806393"/>
    <w:rsid w:val="00807280"/>
    <w:rsid w:val="008113A0"/>
    <w:rsid w:val="00813DEB"/>
    <w:rsid w:val="008140E7"/>
    <w:rsid w:val="008144E6"/>
    <w:rsid w:val="008173BB"/>
    <w:rsid w:val="0082196B"/>
    <w:rsid w:val="00822C5B"/>
    <w:rsid w:val="00823D1A"/>
    <w:rsid w:val="0082595A"/>
    <w:rsid w:val="00825AE3"/>
    <w:rsid w:val="0083050B"/>
    <w:rsid w:val="0083200D"/>
    <w:rsid w:val="00834063"/>
    <w:rsid w:val="008341FA"/>
    <w:rsid w:val="00841CD2"/>
    <w:rsid w:val="00842346"/>
    <w:rsid w:val="008423C4"/>
    <w:rsid w:val="00842FF4"/>
    <w:rsid w:val="00846DA2"/>
    <w:rsid w:val="008473C6"/>
    <w:rsid w:val="00850ADB"/>
    <w:rsid w:val="00854197"/>
    <w:rsid w:val="008561B4"/>
    <w:rsid w:val="008577D5"/>
    <w:rsid w:val="00860B33"/>
    <w:rsid w:val="00863416"/>
    <w:rsid w:val="0086768B"/>
    <w:rsid w:val="00872CF8"/>
    <w:rsid w:val="00875020"/>
    <w:rsid w:val="00877B0F"/>
    <w:rsid w:val="00883516"/>
    <w:rsid w:val="008842A6"/>
    <w:rsid w:val="00884CC5"/>
    <w:rsid w:val="008855DA"/>
    <w:rsid w:val="00885F08"/>
    <w:rsid w:val="00891131"/>
    <w:rsid w:val="00892165"/>
    <w:rsid w:val="008925D0"/>
    <w:rsid w:val="008928F8"/>
    <w:rsid w:val="00894BBC"/>
    <w:rsid w:val="0089653F"/>
    <w:rsid w:val="008967EC"/>
    <w:rsid w:val="008A14B1"/>
    <w:rsid w:val="008A2EA4"/>
    <w:rsid w:val="008A2FD6"/>
    <w:rsid w:val="008A5D64"/>
    <w:rsid w:val="008A704F"/>
    <w:rsid w:val="008B0656"/>
    <w:rsid w:val="008B2643"/>
    <w:rsid w:val="008B7B64"/>
    <w:rsid w:val="008C19C4"/>
    <w:rsid w:val="008C2BB0"/>
    <w:rsid w:val="008C604B"/>
    <w:rsid w:val="008C60F8"/>
    <w:rsid w:val="008C6AA2"/>
    <w:rsid w:val="008D0803"/>
    <w:rsid w:val="008D0BEC"/>
    <w:rsid w:val="008D63C4"/>
    <w:rsid w:val="008E106B"/>
    <w:rsid w:val="008E6954"/>
    <w:rsid w:val="008E71E0"/>
    <w:rsid w:val="008E7E07"/>
    <w:rsid w:val="008E7F10"/>
    <w:rsid w:val="008F0C87"/>
    <w:rsid w:val="008F123D"/>
    <w:rsid w:val="008F2086"/>
    <w:rsid w:val="008F72EE"/>
    <w:rsid w:val="009020E1"/>
    <w:rsid w:val="00902C2B"/>
    <w:rsid w:val="00902F99"/>
    <w:rsid w:val="009032BB"/>
    <w:rsid w:val="00906D42"/>
    <w:rsid w:val="00907092"/>
    <w:rsid w:val="0091170B"/>
    <w:rsid w:val="00913683"/>
    <w:rsid w:val="009138B9"/>
    <w:rsid w:val="00915E5A"/>
    <w:rsid w:val="00916315"/>
    <w:rsid w:val="00916B7D"/>
    <w:rsid w:val="00920506"/>
    <w:rsid w:val="00922CA8"/>
    <w:rsid w:val="00923A54"/>
    <w:rsid w:val="00923B73"/>
    <w:rsid w:val="00923DAF"/>
    <w:rsid w:val="0092501C"/>
    <w:rsid w:val="009251F8"/>
    <w:rsid w:val="0092676A"/>
    <w:rsid w:val="0093432B"/>
    <w:rsid w:val="0094034D"/>
    <w:rsid w:val="009409E6"/>
    <w:rsid w:val="00940E78"/>
    <w:rsid w:val="009444EB"/>
    <w:rsid w:val="00944B23"/>
    <w:rsid w:val="00945660"/>
    <w:rsid w:val="00945791"/>
    <w:rsid w:val="009477DF"/>
    <w:rsid w:val="0094796C"/>
    <w:rsid w:val="009503BE"/>
    <w:rsid w:val="0095064B"/>
    <w:rsid w:val="00952125"/>
    <w:rsid w:val="00952638"/>
    <w:rsid w:val="00952E27"/>
    <w:rsid w:val="00953FFE"/>
    <w:rsid w:val="00954322"/>
    <w:rsid w:val="00954568"/>
    <w:rsid w:val="00960776"/>
    <w:rsid w:val="00960D8C"/>
    <w:rsid w:val="0096321C"/>
    <w:rsid w:val="00965EEC"/>
    <w:rsid w:val="00966566"/>
    <w:rsid w:val="00967E54"/>
    <w:rsid w:val="00970340"/>
    <w:rsid w:val="009727CB"/>
    <w:rsid w:val="009741B2"/>
    <w:rsid w:val="00975577"/>
    <w:rsid w:val="00977EA4"/>
    <w:rsid w:val="00982725"/>
    <w:rsid w:val="00983C1D"/>
    <w:rsid w:val="009850FC"/>
    <w:rsid w:val="00992577"/>
    <w:rsid w:val="0099264A"/>
    <w:rsid w:val="00994A75"/>
    <w:rsid w:val="009952E2"/>
    <w:rsid w:val="00996307"/>
    <w:rsid w:val="009A05A7"/>
    <w:rsid w:val="009A06CD"/>
    <w:rsid w:val="009A0835"/>
    <w:rsid w:val="009A1B38"/>
    <w:rsid w:val="009A1D09"/>
    <w:rsid w:val="009A27D7"/>
    <w:rsid w:val="009A3EA3"/>
    <w:rsid w:val="009A490E"/>
    <w:rsid w:val="009B049C"/>
    <w:rsid w:val="009B1408"/>
    <w:rsid w:val="009B1CAB"/>
    <w:rsid w:val="009B309C"/>
    <w:rsid w:val="009B428F"/>
    <w:rsid w:val="009C6C4E"/>
    <w:rsid w:val="009C732B"/>
    <w:rsid w:val="009C74A8"/>
    <w:rsid w:val="009D344D"/>
    <w:rsid w:val="009D4BEA"/>
    <w:rsid w:val="009D55FB"/>
    <w:rsid w:val="009D6FA2"/>
    <w:rsid w:val="009E059C"/>
    <w:rsid w:val="009E1E60"/>
    <w:rsid w:val="009E26D2"/>
    <w:rsid w:val="009E3D82"/>
    <w:rsid w:val="009E504B"/>
    <w:rsid w:val="009E68E1"/>
    <w:rsid w:val="009E6C41"/>
    <w:rsid w:val="009F1860"/>
    <w:rsid w:val="009F1BC5"/>
    <w:rsid w:val="009F2201"/>
    <w:rsid w:val="009F7F50"/>
    <w:rsid w:val="00A00CC4"/>
    <w:rsid w:val="00A01E02"/>
    <w:rsid w:val="00A0480C"/>
    <w:rsid w:val="00A06332"/>
    <w:rsid w:val="00A06949"/>
    <w:rsid w:val="00A06E0F"/>
    <w:rsid w:val="00A10507"/>
    <w:rsid w:val="00A106E3"/>
    <w:rsid w:val="00A12330"/>
    <w:rsid w:val="00A13ABB"/>
    <w:rsid w:val="00A15016"/>
    <w:rsid w:val="00A17878"/>
    <w:rsid w:val="00A21A45"/>
    <w:rsid w:val="00A21E17"/>
    <w:rsid w:val="00A26D5A"/>
    <w:rsid w:val="00A30338"/>
    <w:rsid w:val="00A30653"/>
    <w:rsid w:val="00A31E48"/>
    <w:rsid w:val="00A377CA"/>
    <w:rsid w:val="00A401AE"/>
    <w:rsid w:val="00A43B78"/>
    <w:rsid w:val="00A44959"/>
    <w:rsid w:val="00A47522"/>
    <w:rsid w:val="00A478AC"/>
    <w:rsid w:val="00A51CA1"/>
    <w:rsid w:val="00A56141"/>
    <w:rsid w:val="00A565EF"/>
    <w:rsid w:val="00A63802"/>
    <w:rsid w:val="00A64341"/>
    <w:rsid w:val="00A6443E"/>
    <w:rsid w:val="00A64C72"/>
    <w:rsid w:val="00A70561"/>
    <w:rsid w:val="00A71E6B"/>
    <w:rsid w:val="00A72E1D"/>
    <w:rsid w:val="00A74119"/>
    <w:rsid w:val="00A77D21"/>
    <w:rsid w:val="00A83298"/>
    <w:rsid w:val="00A85F9B"/>
    <w:rsid w:val="00A9017B"/>
    <w:rsid w:val="00A9246D"/>
    <w:rsid w:val="00A9360E"/>
    <w:rsid w:val="00A94636"/>
    <w:rsid w:val="00A94FEA"/>
    <w:rsid w:val="00A9701D"/>
    <w:rsid w:val="00AA1C2E"/>
    <w:rsid w:val="00AB05F6"/>
    <w:rsid w:val="00AB13B0"/>
    <w:rsid w:val="00AB545C"/>
    <w:rsid w:val="00AB5CE8"/>
    <w:rsid w:val="00AB6959"/>
    <w:rsid w:val="00AC0057"/>
    <w:rsid w:val="00AC34CA"/>
    <w:rsid w:val="00AC5AE9"/>
    <w:rsid w:val="00AD2383"/>
    <w:rsid w:val="00AD2513"/>
    <w:rsid w:val="00AD2592"/>
    <w:rsid w:val="00AD3024"/>
    <w:rsid w:val="00AD520A"/>
    <w:rsid w:val="00AD7200"/>
    <w:rsid w:val="00AD7F01"/>
    <w:rsid w:val="00AE23E3"/>
    <w:rsid w:val="00AE249C"/>
    <w:rsid w:val="00AE3B9E"/>
    <w:rsid w:val="00AE5CCF"/>
    <w:rsid w:val="00AE64C7"/>
    <w:rsid w:val="00AE7036"/>
    <w:rsid w:val="00AF1C5E"/>
    <w:rsid w:val="00AF4EEF"/>
    <w:rsid w:val="00B01BFD"/>
    <w:rsid w:val="00B026DD"/>
    <w:rsid w:val="00B03B94"/>
    <w:rsid w:val="00B04175"/>
    <w:rsid w:val="00B04B47"/>
    <w:rsid w:val="00B056D1"/>
    <w:rsid w:val="00B0577A"/>
    <w:rsid w:val="00B06D40"/>
    <w:rsid w:val="00B101FF"/>
    <w:rsid w:val="00B11744"/>
    <w:rsid w:val="00B11BB3"/>
    <w:rsid w:val="00B136A6"/>
    <w:rsid w:val="00B14303"/>
    <w:rsid w:val="00B14A41"/>
    <w:rsid w:val="00B20783"/>
    <w:rsid w:val="00B21078"/>
    <w:rsid w:val="00B234E5"/>
    <w:rsid w:val="00B25B71"/>
    <w:rsid w:val="00B25C5F"/>
    <w:rsid w:val="00B25F87"/>
    <w:rsid w:val="00B305C2"/>
    <w:rsid w:val="00B30A6E"/>
    <w:rsid w:val="00B34232"/>
    <w:rsid w:val="00B40E76"/>
    <w:rsid w:val="00B46CA8"/>
    <w:rsid w:val="00B52BD0"/>
    <w:rsid w:val="00B54814"/>
    <w:rsid w:val="00B560D4"/>
    <w:rsid w:val="00B56F68"/>
    <w:rsid w:val="00B63982"/>
    <w:rsid w:val="00B64154"/>
    <w:rsid w:val="00B642C1"/>
    <w:rsid w:val="00B64E8D"/>
    <w:rsid w:val="00B65D4B"/>
    <w:rsid w:val="00B6635D"/>
    <w:rsid w:val="00B7240C"/>
    <w:rsid w:val="00B82BE0"/>
    <w:rsid w:val="00B852B8"/>
    <w:rsid w:val="00B87BCF"/>
    <w:rsid w:val="00B90020"/>
    <w:rsid w:val="00B905BE"/>
    <w:rsid w:val="00B924B2"/>
    <w:rsid w:val="00B936B3"/>
    <w:rsid w:val="00B93990"/>
    <w:rsid w:val="00B94240"/>
    <w:rsid w:val="00B94D09"/>
    <w:rsid w:val="00B950FE"/>
    <w:rsid w:val="00B953C2"/>
    <w:rsid w:val="00B95550"/>
    <w:rsid w:val="00B96395"/>
    <w:rsid w:val="00BA2C46"/>
    <w:rsid w:val="00BB2154"/>
    <w:rsid w:val="00BB3EF3"/>
    <w:rsid w:val="00BB62B8"/>
    <w:rsid w:val="00BB6418"/>
    <w:rsid w:val="00BC140F"/>
    <w:rsid w:val="00BC21A9"/>
    <w:rsid w:val="00BC537A"/>
    <w:rsid w:val="00BC5ACE"/>
    <w:rsid w:val="00BC704D"/>
    <w:rsid w:val="00BC7603"/>
    <w:rsid w:val="00BD33C4"/>
    <w:rsid w:val="00BE2C67"/>
    <w:rsid w:val="00BE4AFD"/>
    <w:rsid w:val="00BE58EE"/>
    <w:rsid w:val="00BE5E40"/>
    <w:rsid w:val="00BE5E81"/>
    <w:rsid w:val="00BE6317"/>
    <w:rsid w:val="00BE6B6E"/>
    <w:rsid w:val="00BF09FE"/>
    <w:rsid w:val="00BF0D9B"/>
    <w:rsid w:val="00BF2610"/>
    <w:rsid w:val="00BF2E60"/>
    <w:rsid w:val="00BF488B"/>
    <w:rsid w:val="00BF564B"/>
    <w:rsid w:val="00BF6CAB"/>
    <w:rsid w:val="00C0002B"/>
    <w:rsid w:val="00C144E2"/>
    <w:rsid w:val="00C14A5F"/>
    <w:rsid w:val="00C210F4"/>
    <w:rsid w:val="00C22923"/>
    <w:rsid w:val="00C22DAC"/>
    <w:rsid w:val="00C2584D"/>
    <w:rsid w:val="00C271BE"/>
    <w:rsid w:val="00C27A50"/>
    <w:rsid w:val="00C363F5"/>
    <w:rsid w:val="00C365FD"/>
    <w:rsid w:val="00C36E93"/>
    <w:rsid w:val="00C378BE"/>
    <w:rsid w:val="00C40248"/>
    <w:rsid w:val="00C45453"/>
    <w:rsid w:val="00C4769D"/>
    <w:rsid w:val="00C5121D"/>
    <w:rsid w:val="00C530CE"/>
    <w:rsid w:val="00C54EA0"/>
    <w:rsid w:val="00C56F01"/>
    <w:rsid w:val="00C601C9"/>
    <w:rsid w:val="00C63D0D"/>
    <w:rsid w:val="00C64BB1"/>
    <w:rsid w:val="00C65226"/>
    <w:rsid w:val="00C66303"/>
    <w:rsid w:val="00C6652C"/>
    <w:rsid w:val="00C676FD"/>
    <w:rsid w:val="00C7158D"/>
    <w:rsid w:val="00C74DB5"/>
    <w:rsid w:val="00C805FF"/>
    <w:rsid w:val="00C837FE"/>
    <w:rsid w:val="00C846EA"/>
    <w:rsid w:val="00C8547F"/>
    <w:rsid w:val="00C86A96"/>
    <w:rsid w:val="00C87E59"/>
    <w:rsid w:val="00C90D24"/>
    <w:rsid w:val="00C91014"/>
    <w:rsid w:val="00C92922"/>
    <w:rsid w:val="00C9722E"/>
    <w:rsid w:val="00C9741F"/>
    <w:rsid w:val="00CA0BAA"/>
    <w:rsid w:val="00CA12C7"/>
    <w:rsid w:val="00CA1603"/>
    <w:rsid w:val="00CA1886"/>
    <w:rsid w:val="00CA5BE4"/>
    <w:rsid w:val="00CA5DF0"/>
    <w:rsid w:val="00CB4214"/>
    <w:rsid w:val="00CB4915"/>
    <w:rsid w:val="00CB71E1"/>
    <w:rsid w:val="00CB7282"/>
    <w:rsid w:val="00CC163A"/>
    <w:rsid w:val="00CC2410"/>
    <w:rsid w:val="00CC39AE"/>
    <w:rsid w:val="00CC3E8B"/>
    <w:rsid w:val="00CC4054"/>
    <w:rsid w:val="00CC5AC9"/>
    <w:rsid w:val="00CC7770"/>
    <w:rsid w:val="00CD0108"/>
    <w:rsid w:val="00CD295D"/>
    <w:rsid w:val="00CD5357"/>
    <w:rsid w:val="00CD7CD7"/>
    <w:rsid w:val="00CE57EB"/>
    <w:rsid w:val="00CE75FE"/>
    <w:rsid w:val="00CF020D"/>
    <w:rsid w:val="00CF0F9F"/>
    <w:rsid w:val="00CF1C34"/>
    <w:rsid w:val="00CF5A69"/>
    <w:rsid w:val="00CF730D"/>
    <w:rsid w:val="00D0224F"/>
    <w:rsid w:val="00D046B4"/>
    <w:rsid w:val="00D0574D"/>
    <w:rsid w:val="00D071A6"/>
    <w:rsid w:val="00D12A91"/>
    <w:rsid w:val="00D12C0F"/>
    <w:rsid w:val="00D15EE2"/>
    <w:rsid w:val="00D161CC"/>
    <w:rsid w:val="00D20054"/>
    <w:rsid w:val="00D20434"/>
    <w:rsid w:val="00D218A0"/>
    <w:rsid w:val="00D23283"/>
    <w:rsid w:val="00D263EE"/>
    <w:rsid w:val="00D27129"/>
    <w:rsid w:val="00D27782"/>
    <w:rsid w:val="00D300B5"/>
    <w:rsid w:val="00D34323"/>
    <w:rsid w:val="00D376A7"/>
    <w:rsid w:val="00D37873"/>
    <w:rsid w:val="00D42562"/>
    <w:rsid w:val="00D42F6E"/>
    <w:rsid w:val="00D4362C"/>
    <w:rsid w:val="00D44D44"/>
    <w:rsid w:val="00D46DE3"/>
    <w:rsid w:val="00D5148B"/>
    <w:rsid w:val="00D51583"/>
    <w:rsid w:val="00D51713"/>
    <w:rsid w:val="00D518A7"/>
    <w:rsid w:val="00D53491"/>
    <w:rsid w:val="00D54E8E"/>
    <w:rsid w:val="00D559BF"/>
    <w:rsid w:val="00D6054C"/>
    <w:rsid w:val="00D615C4"/>
    <w:rsid w:val="00D6332F"/>
    <w:rsid w:val="00D66D8F"/>
    <w:rsid w:val="00D66EBE"/>
    <w:rsid w:val="00D727D7"/>
    <w:rsid w:val="00D75990"/>
    <w:rsid w:val="00D776B5"/>
    <w:rsid w:val="00D80334"/>
    <w:rsid w:val="00D82B30"/>
    <w:rsid w:val="00D84267"/>
    <w:rsid w:val="00D84F26"/>
    <w:rsid w:val="00D87D72"/>
    <w:rsid w:val="00D9154E"/>
    <w:rsid w:val="00D921DA"/>
    <w:rsid w:val="00D934EA"/>
    <w:rsid w:val="00D952C6"/>
    <w:rsid w:val="00D95DED"/>
    <w:rsid w:val="00D968B4"/>
    <w:rsid w:val="00D96C5F"/>
    <w:rsid w:val="00DA0CC3"/>
    <w:rsid w:val="00DA20D3"/>
    <w:rsid w:val="00DA666B"/>
    <w:rsid w:val="00DA78D9"/>
    <w:rsid w:val="00DB28C2"/>
    <w:rsid w:val="00DB66B6"/>
    <w:rsid w:val="00DC1D83"/>
    <w:rsid w:val="00DC4EEE"/>
    <w:rsid w:val="00DC7D72"/>
    <w:rsid w:val="00DD1ED1"/>
    <w:rsid w:val="00DD3EBC"/>
    <w:rsid w:val="00DD3EFC"/>
    <w:rsid w:val="00DD4A6D"/>
    <w:rsid w:val="00DD749F"/>
    <w:rsid w:val="00DE05B1"/>
    <w:rsid w:val="00DE5BC7"/>
    <w:rsid w:val="00DE626E"/>
    <w:rsid w:val="00DE6822"/>
    <w:rsid w:val="00DF20B5"/>
    <w:rsid w:val="00DF2871"/>
    <w:rsid w:val="00DF4B5C"/>
    <w:rsid w:val="00E00885"/>
    <w:rsid w:val="00E01DBF"/>
    <w:rsid w:val="00E03EBF"/>
    <w:rsid w:val="00E04C81"/>
    <w:rsid w:val="00E06825"/>
    <w:rsid w:val="00E10DF3"/>
    <w:rsid w:val="00E14BE4"/>
    <w:rsid w:val="00E161D7"/>
    <w:rsid w:val="00E16D5A"/>
    <w:rsid w:val="00E17999"/>
    <w:rsid w:val="00E2156B"/>
    <w:rsid w:val="00E259B7"/>
    <w:rsid w:val="00E27338"/>
    <w:rsid w:val="00E27FEC"/>
    <w:rsid w:val="00E331DD"/>
    <w:rsid w:val="00E362A8"/>
    <w:rsid w:val="00E369B5"/>
    <w:rsid w:val="00E4407B"/>
    <w:rsid w:val="00E4444D"/>
    <w:rsid w:val="00E44B94"/>
    <w:rsid w:val="00E505AF"/>
    <w:rsid w:val="00E509AD"/>
    <w:rsid w:val="00E5289A"/>
    <w:rsid w:val="00E52916"/>
    <w:rsid w:val="00E617BB"/>
    <w:rsid w:val="00E65A40"/>
    <w:rsid w:val="00E72FD7"/>
    <w:rsid w:val="00E739B5"/>
    <w:rsid w:val="00E741BB"/>
    <w:rsid w:val="00E74CB5"/>
    <w:rsid w:val="00E76DB5"/>
    <w:rsid w:val="00E80BF1"/>
    <w:rsid w:val="00E81DBB"/>
    <w:rsid w:val="00E82AAA"/>
    <w:rsid w:val="00E83798"/>
    <w:rsid w:val="00E854F9"/>
    <w:rsid w:val="00E8626F"/>
    <w:rsid w:val="00E910B3"/>
    <w:rsid w:val="00E910BB"/>
    <w:rsid w:val="00E9722C"/>
    <w:rsid w:val="00EA0503"/>
    <w:rsid w:val="00EA1B97"/>
    <w:rsid w:val="00EA5D96"/>
    <w:rsid w:val="00EA66D5"/>
    <w:rsid w:val="00EB22BC"/>
    <w:rsid w:val="00EC10C4"/>
    <w:rsid w:val="00EC24A6"/>
    <w:rsid w:val="00EC34EB"/>
    <w:rsid w:val="00EC78DA"/>
    <w:rsid w:val="00ED3110"/>
    <w:rsid w:val="00ED41CA"/>
    <w:rsid w:val="00ED75C2"/>
    <w:rsid w:val="00EE3A05"/>
    <w:rsid w:val="00EE44E4"/>
    <w:rsid w:val="00EE4C8C"/>
    <w:rsid w:val="00EE7730"/>
    <w:rsid w:val="00EF09D7"/>
    <w:rsid w:val="00EF675E"/>
    <w:rsid w:val="00F0064F"/>
    <w:rsid w:val="00F03DA7"/>
    <w:rsid w:val="00F03EC5"/>
    <w:rsid w:val="00F041D6"/>
    <w:rsid w:val="00F0756C"/>
    <w:rsid w:val="00F10E1E"/>
    <w:rsid w:val="00F1282D"/>
    <w:rsid w:val="00F12D16"/>
    <w:rsid w:val="00F12F0C"/>
    <w:rsid w:val="00F14D02"/>
    <w:rsid w:val="00F14D3F"/>
    <w:rsid w:val="00F15B1B"/>
    <w:rsid w:val="00F16DCC"/>
    <w:rsid w:val="00F21668"/>
    <w:rsid w:val="00F2188F"/>
    <w:rsid w:val="00F22D97"/>
    <w:rsid w:val="00F23333"/>
    <w:rsid w:val="00F25B5E"/>
    <w:rsid w:val="00F25FE9"/>
    <w:rsid w:val="00F2669D"/>
    <w:rsid w:val="00F27971"/>
    <w:rsid w:val="00F325E7"/>
    <w:rsid w:val="00F33D6F"/>
    <w:rsid w:val="00F34D62"/>
    <w:rsid w:val="00F352A5"/>
    <w:rsid w:val="00F36AB0"/>
    <w:rsid w:val="00F36CCB"/>
    <w:rsid w:val="00F3777E"/>
    <w:rsid w:val="00F41D13"/>
    <w:rsid w:val="00F4367E"/>
    <w:rsid w:val="00F47CED"/>
    <w:rsid w:val="00F47ED6"/>
    <w:rsid w:val="00F5098B"/>
    <w:rsid w:val="00F51E8E"/>
    <w:rsid w:val="00F5221B"/>
    <w:rsid w:val="00F553DC"/>
    <w:rsid w:val="00F55CC9"/>
    <w:rsid w:val="00F55EDF"/>
    <w:rsid w:val="00F560A2"/>
    <w:rsid w:val="00F63276"/>
    <w:rsid w:val="00F63B96"/>
    <w:rsid w:val="00F63BB0"/>
    <w:rsid w:val="00F647CE"/>
    <w:rsid w:val="00F648EC"/>
    <w:rsid w:val="00F76357"/>
    <w:rsid w:val="00F778A4"/>
    <w:rsid w:val="00F80FA8"/>
    <w:rsid w:val="00F82A58"/>
    <w:rsid w:val="00F8625E"/>
    <w:rsid w:val="00F87208"/>
    <w:rsid w:val="00F879F0"/>
    <w:rsid w:val="00F94141"/>
    <w:rsid w:val="00F96340"/>
    <w:rsid w:val="00FA0C0F"/>
    <w:rsid w:val="00FA297A"/>
    <w:rsid w:val="00FA5EA5"/>
    <w:rsid w:val="00FA6046"/>
    <w:rsid w:val="00FB0A75"/>
    <w:rsid w:val="00FB16DD"/>
    <w:rsid w:val="00FB1E3A"/>
    <w:rsid w:val="00FB260C"/>
    <w:rsid w:val="00FB7A59"/>
    <w:rsid w:val="00FC24A8"/>
    <w:rsid w:val="00FC3487"/>
    <w:rsid w:val="00FC3F89"/>
    <w:rsid w:val="00FC60E6"/>
    <w:rsid w:val="00FC660A"/>
    <w:rsid w:val="00FD0408"/>
    <w:rsid w:val="00FD1221"/>
    <w:rsid w:val="00FD148A"/>
    <w:rsid w:val="00FD19D1"/>
    <w:rsid w:val="00FD1BAC"/>
    <w:rsid w:val="00FD34CC"/>
    <w:rsid w:val="00FD48F5"/>
    <w:rsid w:val="00FD5ABC"/>
    <w:rsid w:val="00FD62D0"/>
    <w:rsid w:val="00FD75DD"/>
    <w:rsid w:val="00FE045E"/>
    <w:rsid w:val="00FE1442"/>
    <w:rsid w:val="00FF0B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A623EA"/>
  <w14:defaultImageDpi w14:val="300"/>
  <w15:docId w15:val="{88C9EA41-36D5-BB40-83AD-8452B8B1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811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20D"/>
    <w:pPr>
      <w:ind w:left="720"/>
      <w:contextualSpacing/>
    </w:pPr>
  </w:style>
  <w:style w:type="paragraph" w:styleId="FootnoteText">
    <w:name w:val="footnote text"/>
    <w:basedOn w:val="Normal"/>
    <w:link w:val="FootnoteTextChar"/>
    <w:uiPriority w:val="99"/>
    <w:rsid w:val="00CF020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F020D"/>
    <w:rPr>
      <w:rFonts w:ascii="Times New Roman" w:eastAsia="Times New Roman" w:hAnsi="Times New Roman" w:cs="Times New Roman"/>
      <w:sz w:val="20"/>
      <w:szCs w:val="20"/>
    </w:rPr>
  </w:style>
  <w:style w:type="character" w:styleId="FootnoteReference">
    <w:name w:val="footnote reference"/>
    <w:uiPriority w:val="99"/>
    <w:rsid w:val="00CF020D"/>
    <w:rPr>
      <w:vertAlign w:val="superscript"/>
    </w:rPr>
  </w:style>
  <w:style w:type="table" w:styleId="TableGrid">
    <w:name w:val="Table Grid"/>
    <w:basedOn w:val="TableNormal"/>
    <w:uiPriority w:val="39"/>
    <w:rsid w:val="00FD5ABC"/>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0783"/>
    <w:pPr>
      <w:tabs>
        <w:tab w:val="center" w:pos="4680"/>
        <w:tab w:val="right" w:pos="9360"/>
      </w:tabs>
    </w:pPr>
  </w:style>
  <w:style w:type="character" w:customStyle="1" w:styleId="HeaderChar">
    <w:name w:val="Header Char"/>
    <w:basedOn w:val="DefaultParagraphFont"/>
    <w:link w:val="Header"/>
    <w:uiPriority w:val="99"/>
    <w:rsid w:val="00B20783"/>
  </w:style>
  <w:style w:type="paragraph" w:styleId="Footer">
    <w:name w:val="footer"/>
    <w:basedOn w:val="Normal"/>
    <w:link w:val="FooterChar"/>
    <w:uiPriority w:val="99"/>
    <w:unhideWhenUsed/>
    <w:rsid w:val="00B20783"/>
    <w:pPr>
      <w:tabs>
        <w:tab w:val="center" w:pos="4680"/>
        <w:tab w:val="right" w:pos="9360"/>
      </w:tabs>
    </w:pPr>
  </w:style>
  <w:style w:type="character" w:customStyle="1" w:styleId="FooterChar">
    <w:name w:val="Footer Char"/>
    <w:basedOn w:val="DefaultParagraphFont"/>
    <w:link w:val="Footer"/>
    <w:uiPriority w:val="99"/>
    <w:rsid w:val="00B20783"/>
  </w:style>
  <w:style w:type="character" w:styleId="CommentReference">
    <w:name w:val="annotation reference"/>
    <w:basedOn w:val="DefaultParagraphFont"/>
    <w:uiPriority w:val="99"/>
    <w:semiHidden/>
    <w:unhideWhenUsed/>
    <w:rsid w:val="00CD0108"/>
    <w:rPr>
      <w:sz w:val="18"/>
      <w:szCs w:val="18"/>
    </w:rPr>
  </w:style>
  <w:style w:type="paragraph" w:styleId="CommentText">
    <w:name w:val="annotation text"/>
    <w:basedOn w:val="Normal"/>
    <w:link w:val="CommentTextChar"/>
    <w:uiPriority w:val="99"/>
    <w:unhideWhenUsed/>
    <w:rsid w:val="00CD0108"/>
  </w:style>
  <w:style w:type="character" w:customStyle="1" w:styleId="CommentTextChar">
    <w:name w:val="Comment Text Char"/>
    <w:basedOn w:val="DefaultParagraphFont"/>
    <w:link w:val="CommentText"/>
    <w:uiPriority w:val="99"/>
    <w:rsid w:val="00CD0108"/>
  </w:style>
  <w:style w:type="paragraph" w:styleId="CommentSubject">
    <w:name w:val="annotation subject"/>
    <w:basedOn w:val="CommentText"/>
    <w:next w:val="CommentText"/>
    <w:link w:val="CommentSubjectChar"/>
    <w:uiPriority w:val="99"/>
    <w:semiHidden/>
    <w:unhideWhenUsed/>
    <w:rsid w:val="00CD0108"/>
    <w:rPr>
      <w:b/>
      <w:bCs/>
      <w:sz w:val="20"/>
      <w:szCs w:val="20"/>
    </w:rPr>
  </w:style>
  <w:style w:type="character" w:customStyle="1" w:styleId="CommentSubjectChar">
    <w:name w:val="Comment Subject Char"/>
    <w:basedOn w:val="CommentTextChar"/>
    <w:link w:val="CommentSubject"/>
    <w:uiPriority w:val="99"/>
    <w:semiHidden/>
    <w:rsid w:val="00CD0108"/>
    <w:rPr>
      <w:b/>
      <w:bCs/>
      <w:sz w:val="20"/>
      <w:szCs w:val="20"/>
    </w:rPr>
  </w:style>
  <w:style w:type="paragraph" w:styleId="BalloonText">
    <w:name w:val="Balloon Text"/>
    <w:basedOn w:val="Normal"/>
    <w:link w:val="BalloonTextChar"/>
    <w:uiPriority w:val="99"/>
    <w:semiHidden/>
    <w:unhideWhenUsed/>
    <w:rsid w:val="00CD01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108"/>
    <w:rPr>
      <w:rFonts w:ascii="Lucida Grande" w:hAnsi="Lucida Grande" w:cs="Lucida Grande"/>
      <w:sz w:val="18"/>
      <w:szCs w:val="18"/>
    </w:rPr>
  </w:style>
  <w:style w:type="paragraph" w:styleId="NoSpacing">
    <w:name w:val="No Spacing"/>
    <w:uiPriority w:val="1"/>
    <w:qFormat/>
    <w:rsid w:val="007E176F"/>
    <w:rPr>
      <w:rFonts w:eastAsiaTheme="minorHAnsi"/>
      <w:sz w:val="22"/>
      <w:szCs w:val="22"/>
    </w:rPr>
  </w:style>
  <w:style w:type="character" w:styleId="Hyperlink">
    <w:name w:val="Hyperlink"/>
    <w:basedOn w:val="DefaultParagraphFont"/>
    <w:uiPriority w:val="99"/>
    <w:unhideWhenUsed/>
    <w:rsid w:val="006A3897"/>
    <w:rPr>
      <w:color w:val="0000FF" w:themeColor="hyperlink"/>
      <w:u w:val="single"/>
    </w:rPr>
  </w:style>
  <w:style w:type="character" w:styleId="FollowedHyperlink">
    <w:name w:val="FollowedHyperlink"/>
    <w:basedOn w:val="DefaultParagraphFont"/>
    <w:uiPriority w:val="99"/>
    <w:semiHidden/>
    <w:unhideWhenUsed/>
    <w:rsid w:val="00860B33"/>
    <w:rPr>
      <w:color w:val="800080" w:themeColor="followedHyperlink"/>
      <w:u w:val="single"/>
    </w:rPr>
  </w:style>
  <w:style w:type="paragraph" w:styleId="Revision">
    <w:name w:val="Revision"/>
    <w:hidden/>
    <w:uiPriority w:val="99"/>
    <w:semiHidden/>
    <w:rsid w:val="00CC4054"/>
  </w:style>
  <w:style w:type="character" w:customStyle="1" w:styleId="UnresolvedMention1">
    <w:name w:val="Unresolved Mention1"/>
    <w:basedOn w:val="DefaultParagraphFont"/>
    <w:uiPriority w:val="99"/>
    <w:rsid w:val="003E6ACD"/>
    <w:rPr>
      <w:color w:val="808080"/>
      <w:shd w:val="clear" w:color="auto" w:fill="E6E6E6"/>
    </w:rPr>
  </w:style>
  <w:style w:type="character" w:customStyle="1" w:styleId="UnresolvedMention2">
    <w:name w:val="Unresolved Mention2"/>
    <w:basedOn w:val="DefaultParagraphFont"/>
    <w:uiPriority w:val="99"/>
    <w:semiHidden/>
    <w:unhideWhenUsed/>
    <w:rsid w:val="00177277"/>
    <w:rPr>
      <w:color w:val="808080"/>
      <w:shd w:val="clear" w:color="auto" w:fill="E6E6E6"/>
    </w:rPr>
  </w:style>
  <w:style w:type="character" w:customStyle="1" w:styleId="Heading2Char">
    <w:name w:val="Heading 2 Char"/>
    <w:basedOn w:val="DefaultParagraphFont"/>
    <w:link w:val="Heading2"/>
    <w:uiPriority w:val="9"/>
    <w:rsid w:val="00681120"/>
    <w:rPr>
      <w:rFonts w:asciiTheme="majorHAnsi" w:eastAsiaTheme="majorEastAsia" w:hAnsiTheme="majorHAnsi" w:cstheme="majorBidi"/>
      <w:b/>
      <w:bCs/>
      <w:color w:val="4F81BD" w:themeColor="accent1"/>
      <w:sz w:val="26"/>
      <w:szCs w:val="26"/>
    </w:rPr>
  </w:style>
  <w:style w:type="character" w:customStyle="1" w:styleId="UnresolvedMention3">
    <w:name w:val="Unresolved Mention3"/>
    <w:basedOn w:val="DefaultParagraphFont"/>
    <w:uiPriority w:val="99"/>
    <w:semiHidden/>
    <w:unhideWhenUsed/>
    <w:rsid w:val="00F63276"/>
    <w:rPr>
      <w:color w:val="808080"/>
      <w:shd w:val="clear" w:color="auto" w:fill="E6E6E6"/>
    </w:rPr>
  </w:style>
  <w:style w:type="character" w:styleId="PlaceholderText">
    <w:name w:val="Placeholder Text"/>
    <w:basedOn w:val="DefaultParagraphFont"/>
    <w:uiPriority w:val="99"/>
    <w:semiHidden/>
    <w:rsid w:val="0028333A"/>
    <w:rPr>
      <w:color w:val="808080"/>
    </w:rPr>
  </w:style>
  <w:style w:type="character" w:styleId="PageNumber">
    <w:name w:val="page number"/>
    <w:basedOn w:val="DefaultParagraphFont"/>
    <w:uiPriority w:val="99"/>
    <w:semiHidden/>
    <w:unhideWhenUsed/>
    <w:rsid w:val="007F77AD"/>
  </w:style>
  <w:style w:type="character" w:customStyle="1" w:styleId="UnresolvedMention4">
    <w:name w:val="Unresolved Mention4"/>
    <w:basedOn w:val="DefaultParagraphFont"/>
    <w:uiPriority w:val="99"/>
    <w:semiHidden/>
    <w:unhideWhenUsed/>
    <w:rsid w:val="008F123D"/>
    <w:rPr>
      <w:color w:val="605E5C"/>
      <w:shd w:val="clear" w:color="auto" w:fill="E1DFDD"/>
    </w:rPr>
  </w:style>
  <w:style w:type="paragraph" w:styleId="Bibliography">
    <w:name w:val="Bibliography"/>
    <w:basedOn w:val="Normal"/>
    <w:next w:val="Normal"/>
    <w:uiPriority w:val="37"/>
    <w:unhideWhenUsed/>
    <w:rsid w:val="00102EBE"/>
    <w:pPr>
      <w:ind w:left="720" w:hanging="720"/>
    </w:pPr>
  </w:style>
  <w:style w:type="paragraph" w:styleId="NormalWeb">
    <w:name w:val="Normal (Web)"/>
    <w:basedOn w:val="Normal"/>
    <w:uiPriority w:val="99"/>
    <w:semiHidden/>
    <w:unhideWhenUsed/>
    <w:rsid w:val="00D46DE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18747">
      <w:bodyDiv w:val="1"/>
      <w:marLeft w:val="0"/>
      <w:marRight w:val="0"/>
      <w:marTop w:val="0"/>
      <w:marBottom w:val="0"/>
      <w:divBdr>
        <w:top w:val="none" w:sz="0" w:space="0" w:color="auto"/>
        <w:left w:val="none" w:sz="0" w:space="0" w:color="auto"/>
        <w:bottom w:val="none" w:sz="0" w:space="0" w:color="auto"/>
        <w:right w:val="none" w:sz="0" w:space="0" w:color="auto"/>
      </w:divBdr>
    </w:div>
    <w:div w:id="218178073">
      <w:bodyDiv w:val="1"/>
      <w:marLeft w:val="0"/>
      <w:marRight w:val="0"/>
      <w:marTop w:val="0"/>
      <w:marBottom w:val="0"/>
      <w:divBdr>
        <w:top w:val="none" w:sz="0" w:space="0" w:color="auto"/>
        <w:left w:val="none" w:sz="0" w:space="0" w:color="auto"/>
        <w:bottom w:val="none" w:sz="0" w:space="0" w:color="auto"/>
        <w:right w:val="none" w:sz="0" w:space="0" w:color="auto"/>
      </w:divBdr>
      <w:divsChild>
        <w:div w:id="1013191888">
          <w:marLeft w:val="0"/>
          <w:marRight w:val="0"/>
          <w:marTop w:val="0"/>
          <w:marBottom w:val="0"/>
          <w:divBdr>
            <w:top w:val="none" w:sz="0" w:space="0" w:color="auto"/>
            <w:left w:val="none" w:sz="0" w:space="0" w:color="auto"/>
            <w:bottom w:val="none" w:sz="0" w:space="0" w:color="auto"/>
            <w:right w:val="none" w:sz="0" w:space="0" w:color="auto"/>
          </w:divBdr>
          <w:divsChild>
            <w:div w:id="1137531798">
              <w:marLeft w:val="0"/>
              <w:marRight w:val="0"/>
              <w:marTop w:val="0"/>
              <w:marBottom w:val="0"/>
              <w:divBdr>
                <w:top w:val="none" w:sz="0" w:space="0" w:color="auto"/>
                <w:left w:val="none" w:sz="0" w:space="0" w:color="auto"/>
                <w:bottom w:val="none" w:sz="0" w:space="0" w:color="auto"/>
                <w:right w:val="none" w:sz="0" w:space="0" w:color="auto"/>
              </w:divBdr>
              <w:divsChild>
                <w:div w:id="165363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430230">
      <w:bodyDiv w:val="1"/>
      <w:marLeft w:val="0"/>
      <w:marRight w:val="0"/>
      <w:marTop w:val="0"/>
      <w:marBottom w:val="0"/>
      <w:divBdr>
        <w:top w:val="none" w:sz="0" w:space="0" w:color="auto"/>
        <w:left w:val="none" w:sz="0" w:space="0" w:color="auto"/>
        <w:bottom w:val="none" w:sz="0" w:space="0" w:color="auto"/>
        <w:right w:val="none" w:sz="0" w:space="0" w:color="auto"/>
      </w:divBdr>
    </w:div>
    <w:div w:id="388960919">
      <w:bodyDiv w:val="1"/>
      <w:marLeft w:val="0"/>
      <w:marRight w:val="0"/>
      <w:marTop w:val="0"/>
      <w:marBottom w:val="0"/>
      <w:divBdr>
        <w:top w:val="none" w:sz="0" w:space="0" w:color="auto"/>
        <w:left w:val="none" w:sz="0" w:space="0" w:color="auto"/>
        <w:bottom w:val="none" w:sz="0" w:space="0" w:color="auto"/>
        <w:right w:val="none" w:sz="0" w:space="0" w:color="auto"/>
      </w:divBdr>
      <w:divsChild>
        <w:div w:id="304242358">
          <w:marLeft w:val="0"/>
          <w:marRight w:val="0"/>
          <w:marTop w:val="0"/>
          <w:marBottom w:val="0"/>
          <w:divBdr>
            <w:top w:val="none" w:sz="0" w:space="0" w:color="auto"/>
            <w:left w:val="none" w:sz="0" w:space="0" w:color="auto"/>
            <w:bottom w:val="none" w:sz="0" w:space="0" w:color="auto"/>
            <w:right w:val="none" w:sz="0" w:space="0" w:color="auto"/>
          </w:divBdr>
          <w:divsChild>
            <w:div w:id="1738361344">
              <w:marLeft w:val="0"/>
              <w:marRight w:val="0"/>
              <w:marTop w:val="0"/>
              <w:marBottom w:val="0"/>
              <w:divBdr>
                <w:top w:val="none" w:sz="0" w:space="0" w:color="auto"/>
                <w:left w:val="none" w:sz="0" w:space="0" w:color="auto"/>
                <w:bottom w:val="none" w:sz="0" w:space="0" w:color="auto"/>
                <w:right w:val="none" w:sz="0" w:space="0" w:color="auto"/>
              </w:divBdr>
              <w:divsChild>
                <w:div w:id="16264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5562">
      <w:bodyDiv w:val="1"/>
      <w:marLeft w:val="0"/>
      <w:marRight w:val="0"/>
      <w:marTop w:val="0"/>
      <w:marBottom w:val="0"/>
      <w:divBdr>
        <w:top w:val="none" w:sz="0" w:space="0" w:color="auto"/>
        <w:left w:val="none" w:sz="0" w:space="0" w:color="auto"/>
        <w:bottom w:val="none" w:sz="0" w:space="0" w:color="auto"/>
        <w:right w:val="none" w:sz="0" w:space="0" w:color="auto"/>
      </w:divBdr>
      <w:divsChild>
        <w:div w:id="122044748">
          <w:marLeft w:val="480"/>
          <w:marRight w:val="0"/>
          <w:marTop w:val="0"/>
          <w:marBottom w:val="0"/>
          <w:divBdr>
            <w:top w:val="none" w:sz="0" w:space="0" w:color="auto"/>
            <w:left w:val="none" w:sz="0" w:space="0" w:color="auto"/>
            <w:bottom w:val="none" w:sz="0" w:space="0" w:color="auto"/>
            <w:right w:val="none" w:sz="0" w:space="0" w:color="auto"/>
          </w:divBdr>
          <w:divsChild>
            <w:div w:id="1102798408">
              <w:marLeft w:val="0"/>
              <w:marRight w:val="0"/>
              <w:marTop w:val="0"/>
              <w:marBottom w:val="0"/>
              <w:divBdr>
                <w:top w:val="none" w:sz="0" w:space="0" w:color="auto"/>
                <w:left w:val="none" w:sz="0" w:space="0" w:color="auto"/>
                <w:bottom w:val="none" w:sz="0" w:space="0" w:color="auto"/>
                <w:right w:val="none" w:sz="0" w:space="0" w:color="auto"/>
              </w:divBdr>
            </w:div>
            <w:div w:id="518812854">
              <w:marLeft w:val="0"/>
              <w:marRight w:val="0"/>
              <w:marTop w:val="0"/>
              <w:marBottom w:val="0"/>
              <w:divBdr>
                <w:top w:val="none" w:sz="0" w:space="0" w:color="auto"/>
                <w:left w:val="none" w:sz="0" w:space="0" w:color="auto"/>
                <w:bottom w:val="none" w:sz="0" w:space="0" w:color="auto"/>
                <w:right w:val="none" w:sz="0" w:space="0" w:color="auto"/>
              </w:divBdr>
            </w:div>
            <w:div w:id="104738195">
              <w:marLeft w:val="0"/>
              <w:marRight w:val="0"/>
              <w:marTop w:val="0"/>
              <w:marBottom w:val="0"/>
              <w:divBdr>
                <w:top w:val="none" w:sz="0" w:space="0" w:color="auto"/>
                <w:left w:val="none" w:sz="0" w:space="0" w:color="auto"/>
                <w:bottom w:val="none" w:sz="0" w:space="0" w:color="auto"/>
                <w:right w:val="none" w:sz="0" w:space="0" w:color="auto"/>
              </w:divBdr>
            </w:div>
            <w:div w:id="2099935234">
              <w:marLeft w:val="0"/>
              <w:marRight w:val="0"/>
              <w:marTop w:val="0"/>
              <w:marBottom w:val="0"/>
              <w:divBdr>
                <w:top w:val="none" w:sz="0" w:space="0" w:color="auto"/>
                <w:left w:val="none" w:sz="0" w:space="0" w:color="auto"/>
                <w:bottom w:val="none" w:sz="0" w:space="0" w:color="auto"/>
                <w:right w:val="none" w:sz="0" w:space="0" w:color="auto"/>
              </w:divBdr>
            </w:div>
            <w:div w:id="106199396">
              <w:marLeft w:val="0"/>
              <w:marRight w:val="0"/>
              <w:marTop w:val="0"/>
              <w:marBottom w:val="0"/>
              <w:divBdr>
                <w:top w:val="none" w:sz="0" w:space="0" w:color="auto"/>
                <w:left w:val="none" w:sz="0" w:space="0" w:color="auto"/>
                <w:bottom w:val="none" w:sz="0" w:space="0" w:color="auto"/>
                <w:right w:val="none" w:sz="0" w:space="0" w:color="auto"/>
              </w:divBdr>
            </w:div>
            <w:div w:id="180093334">
              <w:marLeft w:val="0"/>
              <w:marRight w:val="0"/>
              <w:marTop w:val="0"/>
              <w:marBottom w:val="0"/>
              <w:divBdr>
                <w:top w:val="none" w:sz="0" w:space="0" w:color="auto"/>
                <w:left w:val="none" w:sz="0" w:space="0" w:color="auto"/>
                <w:bottom w:val="none" w:sz="0" w:space="0" w:color="auto"/>
                <w:right w:val="none" w:sz="0" w:space="0" w:color="auto"/>
              </w:divBdr>
            </w:div>
            <w:div w:id="1466043728">
              <w:marLeft w:val="0"/>
              <w:marRight w:val="0"/>
              <w:marTop w:val="0"/>
              <w:marBottom w:val="0"/>
              <w:divBdr>
                <w:top w:val="none" w:sz="0" w:space="0" w:color="auto"/>
                <w:left w:val="none" w:sz="0" w:space="0" w:color="auto"/>
                <w:bottom w:val="none" w:sz="0" w:space="0" w:color="auto"/>
                <w:right w:val="none" w:sz="0" w:space="0" w:color="auto"/>
              </w:divBdr>
            </w:div>
            <w:div w:id="909728326">
              <w:marLeft w:val="0"/>
              <w:marRight w:val="0"/>
              <w:marTop w:val="0"/>
              <w:marBottom w:val="0"/>
              <w:divBdr>
                <w:top w:val="none" w:sz="0" w:space="0" w:color="auto"/>
                <w:left w:val="none" w:sz="0" w:space="0" w:color="auto"/>
                <w:bottom w:val="none" w:sz="0" w:space="0" w:color="auto"/>
                <w:right w:val="none" w:sz="0" w:space="0" w:color="auto"/>
              </w:divBdr>
            </w:div>
            <w:div w:id="1636712144">
              <w:marLeft w:val="0"/>
              <w:marRight w:val="0"/>
              <w:marTop w:val="0"/>
              <w:marBottom w:val="0"/>
              <w:divBdr>
                <w:top w:val="none" w:sz="0" w:space="0" w:color="auto"/>
                <w:left w:val="none" w:sz="0" w:space="0" w:color="auto"/>
                <w:bottom w:val="none" w:sz="0" w:space="0" w:color="auto"/>
                <w:right w:val="none" w:sz="0" w:space="0" w:color="auto"/>
              </w:divBdr>
            </w:div>
            <w:div w:id="1128209438">
              <w:marLeft w:val="0"/>
              <w:marRight w:val="0"/>
              <w:marTop w:val="0"/>
              <w:marBottom w:val="0"/>
              <w:divBdr>
                <w:top w:val="none" w:sz="0" w:space="0" w:color="auto"/>
                <w:left w:val="none" w:sz="0" w:space="0" w:color="auto"/>
                <w:bottom w:val="none" w:sz="0" w:space="0" w:color="auto"/>
                <w:right w:val="none" w:sz="0" w:space="0" w:color="auto"/>
              </w:divBdr>
            </w:div>
            <w:div w:id="997852610">
              <w:marLeft w:val="0"/>
              <w:marRight w:val="0"/>
              <w:marTop w:val="0"/>
              <w:marBottom w:val="0"/>
              <w:divBdr>
                <w:top w:val="none" w:sz="0" w:space="0" w:color="auto"/>
                <w:left w:val="none" w:sz="0" w:space="0" w:color="auto"/>
                <w:bottom w:val="none" w:sz="0" w:space="0" w:color="auto"/>
                <w:right w:val="none" w:sz="0" w:space="0" w:color="auto"/>
              </w:divBdr>
            </w:div>
            <w:div w:id="1604268412">
              <w:marLeft w:val="0"/>
              <w:marRight w:val="0"/>
              <w:marTop w:val="0"/>
              <w:marBottom w:val="0"/>
              <w:divBdr>
                <w:top w:val="none" w:sz="0" w:space="0" w:color="auto"/>
                <w:left w:val="none" w:sz="0" w:space="0" w:color="auto"/>
                <w:bottom w:val="none" w:sz="0" w:space="0" w:color="auto"/>
                <w:right w:val="none" w:sz="0" w:space="0" w:color="auto"/>
              </w:divBdr>
            </w:div>
            <w:div w:id="2145809521">
              <w:marLeft w:val="0"/>
              <w:marRight w:val="0"/>
              <w:marTop w:val="0"/>
              <w:marBottom w:val="0"/>
              <w:divBdr>
                <w:top w:val="none" w:sz="0" w:space="0" w:color="auto"/>
                <w:left w:val="none" w:sz="0" w:space="0" w:color="auto"/>
                <w:bottom w:val="none" w:sz="0" w:space="0" w:color="auto"/>
                <w:right w:val="none" w:sz="0" w:space="0" w:color="auto"/>
              </w:divBdr>
            </w:div>
            <w:div w:id="932543357">
              <w:marLeft w:val="0"/>
              <w:marRight w:val="0"/>
              <w:marTop w:val="0"/>
              <w:marBottom w:val="0"/>
              <w:divBdr>
                <w:top w:val="none" w:sz="0" w:space="0" w:color="auto"/>
                <w:left w:val="none" w:sz="0" w:space="0" w:color="auto"/>
                <w:bottom w:val="none" w:sz="0" w:space="0" w:color="auto"/>
                <w:right w:val="none" w:sz="0" w:space="0" w:color="auto"/>
              </w:divBdr>
            </w:div>
            <w:div w:id="312806018">
              <w:marLeft w:val="0"/>
              <w:marRight w:val="0"/>
              <w:marTop w:val="0"/>
              <w:marBottom w:val="0"/>
              <w:divBdr>
                <w:top w:val="none" w:sz="0" w:space="0" w:color="auto"/>
                <w:left w:val="none" w:sz="0" w:space="0" w:color="auto"/>
                <w:bottom w:val="none" w:sz="0" w:space="0" w:color="auto"/>
                <w:right w:val="none" w:sz="0" w:space="0" w:color="auto"/>
              </w:divBdr>
            </w:div>
            <w:div w:id="974028176">
              <w:marLeft w:val="0"/>
              <w:marRight w:val="0"/>
              <w:marTop w:val="0"/>
              <w:marBottom w:val="0"/>
              <w:divBdr>
                <w:top w:val="none" w:sz="0" w:space="0" w:color="auto"/>
                <w:left w:val="none" w:sz="0" w:space="0" w:color="auto"/>
                <w:bottom w:val="none" w:sz="0" w:space="0" w:color="auto"/>
                <w:right w:val="none" w:sz="0" w:space="0" w:color="auto"/>
              </w:divBdr>
            </w:div>
            <w:div w:id="998387912">
              <w:marLeft w:val="0"/>
              <w:marRight w:val="0"/>
              <w:marTop w:val="0"/>
              <w:marBottom w:val="0"/>
              <w:divBdr>
                <w:top w:val="none" w:sz="0" w:space="0" w:color="auto"/>
                <w:left w:val="none" w:sz="0" w:space="0" w:color="auto"/>
                <w:bottom w:val="none" w:sz="0" w:space="0" w:color="auto"/>
                <w:right w:val="none" w:sz="0" w:space="0" w:color="auto"/>
              </w:divBdr>
            </w:div>
            <w:div w:id="2049183945">
              <w:marLeft w:val="0"/>
              <w:marRight w:val="0"/>
              <w:marTop w:val="0"/>
              <w:marBottom w:val="0"/>
              <w:divBdr>
                <w:top w:val="none" w:sz="0" w:space="0" w:color="auto"/>
                <w:left w:val="none" w:sz="0" w:space="0" w:color="auto"/>
                <w:bottom w:val="none" w:sz="0" w:space="0" w:color="auto"/>
                <w:right w:val="none" w:sz="0" w:space="0" w:color="auto"/>
              </w:divBdr>
            </w:div>
            <w:div w:id="1918322403">
              <w:marLeft w:val="0"/>
              <w:marRight w:val="0"/>
              <w:marTop w:val="0"/>
              <w:marBottom w:val="0"/>
              <w:divBdr>
                <w:top w:val="none" w:sz="0" w:space="0" w:color="auto"/>
                <w:left w:val="none" w:sz="0" w:space="0" w:color="auto"/>
                <w:bottom w:val="none" w:sz="0" w:space="0" w:color="auto"/>
                <w:right w:val="none" w:sz="0" w:space="0" w:color="auto"/>
              </w:divBdr>
            </w:div>
            <w:div w:id="68844673">
              <w:marLeft w:val="0"/>
              <w:marRight w:val="0"/>
              <w:marTop w:val="0"/>
              <w:marBottom w:val="0"/>
              <w:divBdr>
                <w:top w:val="none" w:sz="0" w:space="0" w:color="auto"/>
                <w:left w:val="none" w:sz="0" w:space="0" w:color="auto"/>
                <w:bottom w:val="none" w:sz="0" w:space="0" w:color="auto"/>
                <w:right w:val="none" w:sz="0" w:space="0" w:color="auto"/>
              </w:divBdr>
            </w:div>
            <w:div w:id="511452452">
              <w:marLeft w:val="0"/>
              <w:marRight w:val="0"/>
              <w:marTop w:val="0"/>
              <w:marBottom w:val="0"/>
              <w:divBdr>
                <w:top w:val="none" w:sz="0" w:space="0" w:color="auto"/>
                <w:left w:val="none" w:sz="0" w:space="0" w:color="auto"/>
                <w:bottom w:val="none" w:sz="0" w:space="0" w:color="auto"/>
                <w:right w:val="none" w:sz="0" w:space="0" w:color="auto"/>
              </w:divBdr>
            </w:div>
            <w:div w:id="1658419965">
              <w:marLeft w:val="0"/>
              <w:marRight w:val="0"/>
              <w:marTop w:val="0"/>
              <w:marBottom w:val="0"/>
              <w:divBdr>
                <w:top w:val="none" w:sz="0" w:space="0" w:color="auto"/>
                <w:left w:val="none" w:sz="0" w:space="0" w:color="auto"/>
                <w:bottom w:val="none" w:sz="0" w:space="0" w:color="auto"/>
                <w:right w:val="none" w:sz="0" w:space="0" w:color="auto"/>
              </w:divBdr>
            </w:div>
            <w:div w:id="1972201067">
              <w:marLeft w:val="0"/>
              <w:marRight w:val="0"/>
              <w:marTop w:val="0"/>
              <w:marBottom w:val="0"/>
              <w:divBdr>
                <w:top w:val="none" w:sz="0" w:space="0" w:color="auto"/>
                <w:left w:val="none" w:sz="0" w:space="0" w:color="auto"/>
                <w:bottom w:val="none" w:sz="0" w:space="0" w:color="auto"/>
                <w:right w:val="none" w:sz="0" w:space="0" w:color="auto"/>
              </w:divBdr>
            </w:div>
            <w:div w:id="913470684">
              <w:marLeft w:val="0"/>
              <w:marRight w:val="0"/>
              <w:marTop w:val="0"/>
              <w:marBottom w:val="0"/>
              <w:divBdr>
                <w:top w:val="none" w:sz="0" w:space="0" w:color="auto"/>
                <w:left w:val="none" w:sz="0" w:space="0" w:color="auto"/>
                <w:bottom w:val="none" w:sz="0" w:space="0" w:color="auto"/>
                <w:right w:val="none" w:sz="0" w:space="0" w:color="auto"/>
              </w:divBdr>
            </w:div>
            <w:div w:id="1039938136">
              <w:marLeft w:val="0"/>
              <w:marRight w:val="0"/>
              <w:marTop w:val="0"/>
              <w:marBottom w:val="0"/>
              <w:divBdr>
                <w:top w:val="none" w:sz="0" w:space="0" w:color="auto"/>
                <w:left w:val="none" w:sz="0" w:space="0" w:color="auto"/>
                <w:bottom w:val="none" w:sz="0" w:space="0" w:color="auto"/>
                <w:right w:val="none" w:sz="0" w:space="0" w:color="auto"/>
              </w:divBdr>
            </w:div>
            <w:div w:id="214230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9809">
      <w:bodyDiv w:val="1"/>
      <w:marLeft w:val="0"/>
      <w:marRight w:val="0"/>
      <w:marTop w:val="0"/>
      <w:marBottom w:val="0"/>
      <w:divBdr>
        <w:top w:val="none" w:sz="0" w:space="0" w:color="auto"/>
        <w:left w:val="none" w:sz="0" w:space="0" w:color="auto"/>
        <w:bottom w:val="none" w:sz="0" w:space="0" w:color="auto"/>
        <w:right w:val="none" w:sz="0" w:space="0" w:color="auto"/>
      </w:divBdr>
    </w:div>
    <w:div w:id="718824532">
      <w:bodyDiv w:val="1"/>
      <w:marLeft w:val="0"/>
      <w:marRight w:val="0"/>
      <w:marTop w:val="0"/>
      <w:marBottom w:val="0"/>
      <w:divBdr>
        <w:top w:val="none" w:sz="0" w:space="0" w:color="auto"/>
        <w:left w:val="none" w:sz="0" w:space="0" w:color="auto"/>
        <w:bottom w:val="none" w:sz="0" w:space="0" w:color="auto"/>
        <w:right w:val="none" w:sz="0" w:space="0" w:color="auto"/>
      </w:divBdr>
    </w:div>
    <w:div w:id="924539010">
      <w:bodyDiv w:val="1"/>
      <w:marLeft w:val="0"/>
      <w:marRight w:val="0"/>
      <w:marTop w:val="0"/>
      <w:marBottom w:val="0"/>
      <w:divBdr>
        <w:top w:val="none" w:sz="0" w:space="0" w:color="auto"/>
        <w:left w:val="none" w:sz="0" w:space="0" w:color="auto"/>
        <w:bottom w:val="none" w:sz="0" w:space="0" w:color="auto"/>
        <w:right w:val="none" w:sz="0" w:space="0" w:color="auto"/>
      </w:divBdr>
      <w:divsChild>
        <w:div w:id="1861048654">
          <w:marLeft w:val="0"/>
          <w:marRight w:val="0"/>
          <w:marTop w:val="0"/>
          <w:marBottom w:val="0"/>
          <w:divBdr>
            <w:top w:val="none" w:sz="0" w:space="0" w:color="auto"/>
            <w:left w:val="none" w:sz="0" w:space="0" w:color="auto"/>
            <w:bottom w:val="none" w:sz="0" w:space="0" w:color="auto"/>
            <w:right w:val="none" w:sz="0" w:space="0" w:color="auto"/>
          </w:divBdr>
          <w:divsChild>
            <w:div w:id="367026846">
              <w:marLeft w:val="0"/>
              <w:marRight w:val="0"/>
              <w:marTop w:val="0"/>
              <w:marBottom w:val="0"/>
              <w:divBdr>
                <w:top w:val="none" w:sz="0" w:space="0" w:color="auto"/>
                <w:left w:val="none" w:sz="0" w:space="0" w:color="auto"/>
                <w:bottom w:val="none" w:sz="0" w:space="0" w:color="auto"/>
                <w:right w:val="none" w:sz="0" w:space="0" w:color="auto"/>
              </w:divBdr>
              <w:divsChild>
                <w:div w:id="171311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78475">
      <w:bodyDiv w:val="1"/>
      <w:marLeft w:val="0"/>
      <w:marRight w:val="0"/>
      <w:marTop w:val="0"/>
      <w:marBottom w:val="0"/>
      <w:divBdr>
        <w:top w:val="none" w:sz="0" w:space="0" w:color="auto"/>
        <w:left w:val="none" w:sz="0" w:space="0" w:color="auto"/>
        <w:bottom w:val="none" w:sz="0" w:space="0" w:color="auto"/>
        <w:right w:val="none" w:sz="0" w:space="0" w:color="auto"/>
      </w:divBdr>
    </w:div>
    <w:div w:id="1003699576">
      <w:bodyDiv w:val="1"/>
      <w:marLeft w:val="0"/>
      <w:marRight w:val="0"/>
      <w:marTop w:val="0"/>
      <w:marBottom w:val="0"/>
      <w:divBdr>
        <w:top w:val="none" w:sz="0" w:space="0" w:color="auto"/>
        <w:left w:val="none" w:sz="0" w:space="0" w:color="auto"/>
        <w:bottom w:val="none" w:sz="0" w:space="0" w:color="auto"/>
        <w:right w:val="none" w:sz="0" w:space="0" w:color="auto"/>
      </w:divBdr>
      <w:divsChild>
        <w:div w:id="496271277">
          <w:marLeft w:val="0"/>
          <w:marRight w:val="0"/>
          <w:marTop w:val="0"/>
          <w:marBottom w:val="0"/>
          <w:divBdr>
            <w:top w:val="none" w:sz="0" w:space="0" w:color="auto"/>
            <w:left w:val="none" w:sz="0" w:space="0" w:color="auto"/>
            <w:bottom w:val="none" w:sz="0" w:space="0" w:color="auto"/>
            <w:right w:val="none" w:sz="0" w:space="0" w:color="auto"/>
          </w:divBdr>
          <w:divsChild>
            <w:div w:id="718092760">
              <w:marLeft w:val="0"/>
              <w:marRight w:val="0"/>
              <w:marTop w:val="0"/>
              <w:marBottom w:val="0"/>
              <w:divBdr>
                <w:top w:val="none" w:sz="0" w:space="0" w:color="auto"/>
                <w:left w:val="none" w:sz="0" w:space="0" w:color="auto"/>
                <w:bottom w:val="none" w:sz="0" w:space="0" w:color="auto"/>
                <w:right w:val="none" w:sz="0" w:space="0" w:color="auto"/>
              </w:divBdr>
              <w:divsChild>
                <w:div w:id="196149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71858">
      <w:bodyDiv w:val="1"/>
      <w:marLeft w:val="0"/>
      <w:marRight w:val="0"/>
      <w:marTop w:val="0"/>
      <w:marBottom w:val="0"/>
      <w:divBdr>
        <w:top w:val="none" w:sz="0" w:space="0" w:color="auto"/>
        <w:left w:val="none" w:sz="0" w:space="0" w:color="auto"/>
        <w:bottom w:val="none" w:sz="0" w:space="0" w:color="auto"/>
        <w:right w:val="none" w:sz="0" w:space="0" w:color="auto"/>
      </w:divBdr>
      <w:divsChild>
        <w:div w:id="1195848779">
          <w:marLeft w:val="480"/>
          <w:marRight w:val="0"/>
          <w:marTop w:val="0"/>
          <w:marBottom w:val="0"/>
          <w:divBdr>
            <w:top w:val="none" w:sz="0" w:space="0" w:color="auto"/>
            <w:left w:val="none" w:sz="0" w:space="0" w:color="auto"/>
            <w:bottom w:val="none" w:sz="0" w:space="0" w:color="auto"/>
            <w:right w:val="none" w:sz="0" w:space="0" w:color="auto"/>
          </w:divBdr>
          <w:divsChild>
            <w:div w:id="1859273966">
              <w:marLeft w:val="0"/>
              <w:marRight w:val="0"/>
              <w:marTop w:val="0"/>
              <w:marBottom w:val="0"/>
              <w:divBdr>
                <w:top w:val="none" w:sz="0" w:space="0" w:color="auto"/>
                <w:left w:val="none" w:sz="0" w:space="0" w:color="auto"/>
                <w:bottom w:val="none" w:sz="0" w:space="0" w:color="auto"/>
                <w:right w:val="none" w:sz="0" w:space="0" w:color="auto"/>
              </w:divBdr>
            </w:div>
            <w:div w:id="2139250936">
              <w:marLeft w:val="0"/>
              <w:marRight w:val="0"/>
              <w:marTop w:val="0"/>
              <w:marBottom w:val="0"/>
              <w:divBdr>
                <w:top w:val="none" w:sz="0" w:space="0" w:color="auto"/>
                <w:left w:val="none" w:sz="0" w:space="0" w:color="auto"/>
                <w:bottom w:val="none" w:sz="0" w:space="0" w:color="auto"/>
                <w:right w:val="none" w:sz="0" w:space="0" w:color="auto"/>
              </w:divBdr>
            </w:div>
            <w:div w:id="1057054058">
              <w:marLeft w:val="0"/>
              <w:marRight w:val="0"/>
              <w:marTop w:val="0"/>
              <w:marBottom w:val="0"/>
              <w:divBdr>
                <w:top w:val="none" w:sz="0" w:space="0" w:color="auto"/>
                <w:left w:val="none" w:sz="0" w:space="0" w:color="auto"/>
                <w:bottom w:val="none" w:sz="0" w:space="0" w:color="auto"/>
                <w:right w:val="none" w:sz="0" w:space="0" w:color="auto"/>
              </w:divBdr>
            </w:div>
            <w:div w:id="1157644919">
              <w:marLeft w:val="0"/>
              <w:marRight w:val="0"/>
              <w:marTop w:val="0"/>
              <w:marBottom w:val="0"/>
              <w:divBdr>
                <w:top w:val="none" w:sz="0" w:space="0" w:color="auto"/>
                <w:left w:val="none" w:sz="0" w:space="0" w:color="auto"/>
                <w:bottom w:val="none" w:sz="0" w:space="0" w:color="auto"/>
                <w:right w:val="none" w:sz="0" w:space="0" w:color="auto"/>
              </w:divBdr>
            </w:div>
            <w:div w:id="1800145655">
              <w:marLeft w:val="0"/>
              <w:marRight w:val="0"/>
              <w:marTop w:val="0"/>
              <w:marBottom w:val="0"/>
              <w:divBdr>
                <w:top w:val="none" w:sz="0" w:space="0" w:color="auto"/>
                <w:left w:val="none" w:sz="0" w:space="0" w:color="auto"/>
                <w:bottom w:val="none" w:sz="0" w:space="0" w:color="auto"/>
                <w:right w:val="none" w:sz="0" w:space="0" w:color="auto"/>
              </w:divBdr>
            </w:div>
            <w:div w:id="646516862">
              <w:marLeft w:val="0"/>
              <w:marRight w:val="0"/>
              <w:marTop w:val="0"/>
              <w:marBottom w:val="0"/>
              <w:divBdr>
                <w:top w:val="none" w:sz="0" w:space="0" w:color="auto"/>
                <w:left w:val="none" w:sz="0" w:space="0" w:color="auto"/>
                <w:bottom w:val="none" w:sz="0" w:space="0" w:color="auto"/>
                <w:right w:val="none" w:sz="0" w:space="0" w:color="auto"/>
              </w:divBdr>
            </w:div>
            <w:div w:id="742148101">
              <w:marLeft w:val="0"/>
              <w:marRight w:val="0"/>
              <w:marTop w:val="0"/>
              <w:marBottom w:val="0"/>
              <w:divBdr>
                <w:top w:val="none" w:sz="0" w:space="0" w:color="auto"/>
                <w:left w:val="none" w:sz="0" w:space="0" w:color="auto"/>
                <w:bottom w:val="none" w:sz="0" w:space="0" w:color="auto"/>
                <w:right w:val="none" w:sz="0" w:space="0" w:color="auto"/>
              </w:divBdr>
            </w:div>
            <w:div w:id="73551173">
              <w:marLeft w:val="0"/>
              <w:marRight w:val="0"/>
              <w:marTop w:val="0"/>
              <w:marBottom w:val="0"/>
              <w:divBdr>
                <w:top w:val="none" w:sz="0" w:space="0" w:color="auto"/>
                <w:left w:val="none" w:sz="0" w:space="0" w:color="auto"/>
                <w:bottom w:val="none" w:sz="0" w:space="0" w:color="auto"/>
                <w:right w:val="none" w:sz="0" w:space="0" w:color="auto"/>
              </w:divBdr>
            </w:div>
            <w:div w:id="1648437952">
              <w:marLeft w:val="0"/>
              <w:marRight w:val="0"/>
              <w:marTop w:val="0"/>
              <w:marBottom w:val="0"/>
              <w:divBdr>
                <w:top w:val="none" w:sz="0" w:space="0" w:color="auto"/>
                <w:left w:val="none" w:sz="0" w:space="0" w:color="auto"/>
                <w:bottom w:val="none" w:sz="0" w:space="0" w:color="auto"/>
                <w:right w:val="none" w:sz="0" w:space="0" w:color="auto"/>
              </w:divBdr>
            </w:div>
            <w:div w:id="341200312">
              <w:marLeft w:val="0"/>
              <w:marRight w:val="0"/>
              <w:marTop w:val="0"/>
              <w:marBottom w:val="0"/>
              <w:divBdr>
                <w:top w:val="none" w:sz="0" w:space="0" w:color="auto"/>
                <w:left w:val="none" w:sz="0" w:space="0" w:color="auto"/>
                <w:bottom w:val="none" w:sz="0" w:space="0" w:color="auto"/>
                <w:right w:val="none" w:sz="0" w:space="0" w:color="auto"/>
              </w:divBdr>
            </w:div>
            <w:div w:id="948198877">
              <w:marLeft w:val="0"/>
              <w:marRight w:val="0"/>
              <w:marTop w:val="0"/>
              <w:marBottom w:val="0"/>
              <w:divBdr>
                <w:top w:val="none" w:sz="0" w:space="0" w:color="auto"/>
                <w:left w:val="none" w:sz="0" w:space="0" w:color="auto"/>
                <w:bottom w:val="none" w:sz="0" w:space="0" w:color="auto"/>
                <w:right w:val="none" w:sz="0" w:space="0" w:color="auto"/>
              </w:divBdr>
            </w:div>
            <w:div w:id="2076972465">
              <w:marLeft w:val="0"/>
              <w:marRight w:val="0"/>
              <w:marTop w:val="0"/>
              <w:marBottom w:val="0"/>
              <w:divBdr>
                <w:top w:val="none" w:sz="0" w:space="0" w:color="auto"/>
                <w:left w:val="none" w:sz="0" w:space="0" w:color="auto"/>
                <w:bottom w:val="none" w:sz="0" w:space="0" w:color="auto"/>
                <w:right w:val="none" w:sz="0" w:space="0" w:color="auto"/>
              </w:divBdr>
            </w:div>
            <w:div w:id="1010638971">
              <w:marLeft w:val="0"/>
              <w:marRight w:val="0"/>
              <w:marTop w:val="0"/>
              <w:marBottom w:val="0"/>
              <w:divBdr>
                <w:top w:val="none" w:sz="0" w:space="0" w:color="auto"/>
                <w:left w:val="none" w:sz="0" w:space="0" w:color="auto"/>
                <w:bottom w:val="none" w:sz="0" w:space="0" w:color="auto"/>
                <w:right w:val="none" w:sz="0" w:space="0" w:color="auto"/>
              </w:divBdr>
            </w:div>
            <w:div w:id="596326566">
              <w:marLeft w:val="0"/>
              <w:marRight w:val="0"/>
              <w:marTop w:val="0"/>
              <w:marBottom w:val="0"/>
              <w:divBdr>
                <w:top w:val="none" w:sz="0" w:space="0" w:color="auto"/>
                <w:left w:val="none" w:sz="0" w:space="0" w:color="auto"/>
                <w:bottom w:val="none" w:sz="0" w:space="0" w:color="auto"/>
                <w:right w:val="none" w:sz="0" w:space="0" w:color="auto"/>
              </w:divBdr>
            </w:div>
            <w:div w:id="1559975376">
              <w:marLeft w:val="0"/>
              <w:marRight w:val="0"/>
              <w:marTop w:val="0"/>
              <w:marBottom w:val="0"/>
              <w:divBdr>
                <w:top w:val="none" w:sz="0" w:space="0" w:color="auto"/>
                <w:left w:val="none" w:sz="0" w:space="0" w:color="auto"/>
                <w:bottom w:val="none" w:sz="0" w:space="0" w:color="auto"/>
                <w:right w:val="none" w:sz="0" w:space="0" w:color="auto"/>
              </w:divBdr>
            </w:div>
            <w:div w:id="683819802">
              <w:marLeft w:val="0"/>
              <w:marRight w:val="0"/>
              <w:marTop w:val="0"/>
              <w:marBottom w:val="0"/>
              <w:divBdr>
                <w:top w:val="none" w:sz="0" w:space="0" w:color="auto"/>
                <w:left w:val="none" w:sz="0" w:space="0" w:color="auto"/>
                <w:bottom w:val="none" w:sz="0" w:space="0" w:color="auto"/>
                <w:right w:val="none" w:sz="0" w:space="0" w:color="auto"/>
              </w:divBdr>
            </w:div>
            <w:div w:id="1168986302">
              <w:marLeft w:val="0"/>
              <w:marRight w:val="0"/>
              <w:marTop w:val="0"/>
              <w:marBottom w:val="0"/>
              <w:divBdr>
                <w:top w:val="none" w:sz="0" w:space="0" w:color="auto"/>
                <w:left w:val="none" w:sz="0" w:space="0" w:color="auto"/>
                <w:bottom w:val="none" w:sz="0" w:space="0" w:color="auto"/>
                <w:right w:val="none" w:sz="0" w:space="0" w:color="auto"/>
              </w:divBdr>
            </w:div>
            <w:div w:id="663751266">
              <w:marLeft w:val="0"/>
              <w:marRight w:val="0"/>
              <w:marTop w:val="0"/>
              <w:marBottom w:val="0"/>
              <w:divBdr>
                <w:top w:val="none" w:sz="0" w:space="0" w:color="auto"/>
                <w:left w:val="none" w:sz="0" w:space="0" w:color="auto"/>
                <w:bottom w:val="none" w:sz="0" w:space="0" w:color="auto"/>
                <w:right w:val="none" w:sz="0" w:space="0" w:color="auto"/>
              </w:divBdr>
            </w:div>
            <w:div w:id="1751121978">
              <w:marLeft w:val="0"/>
              <w:marRight w:val="0"/>
              <w:marTop w:val="0"/>
              <w:marBottom w:val="0"/>
              <w:divBdr>
                <w:top w:val="none" w:sz="0" w:space="0" w:color="auto"/>
                <w:left w:val="none" w:sz="0" w:space="0" w:color="auto"/>
                <w:bottom w:val="none" w:sz="0" w:space="0" w:color="auto"/>
                <w:right w:val="none" w:sz="0" w:space="0" w:color="auto"/>
              </w:divBdr>
            </w:div>
            <w:div w:id="926158574">
              <w:marLeft w:val="0"/>
              <w:marRight w:val="0"/>
              <w:marTop w:val="0"/>
              <w:marBottom w:val="0"/>
              <w:divBdr>
                <w:top w:val="none" w:sz="0" w:space="0" w:color="auto"/>
                <w:left w:val="none" w:sz="0" w:space="0" w:color="auto"/>
                <w:bottom w:val="none" w:sz="0" w:space="0" w:color="auto"/>
                <w:right w:val="none" w:sz="0" w:space="0" w:color="auto"/>
              </w:divBdr>
            </w:div>
            <w:div w:id="1212693961">
              <w:marLeft w:val="0"/>
              <w:marRight w:val="0"/>
              <w:marTop w:val="0"/>
              <w:marBottom w:val="0"/>
              <w:divBdr>
                <w:top w:val="none" w:sz="0" w:space="0" w:color="auto"/>
                <w:left w:val="none" w:sz="0" w:space="0" w:color="auto"/>
                <w:bottom w:val="none" w:sz="0" w:space="0" w:color="auto"/>
                <w:right w:val="none" w:sz="0" w:space="0" w:color="auto"/>
              </w:divBdr>
            </w:div>
            <w:div w:id="1341742239">
              <w:marLeft w:val="0"/>
              <w:marRight w:val="0"/>
              <w:marTop w:val="0"/>
              <w:marBottom w:val="0"/>
              <w:divBdr>
                <w:top w:val="none" w:sz="0" w:space="0" w:color="auto"/>
                <w:left w:val="none" w:sz="0" w:space="0" w:color="auto"/>
                <w:bottom w:val="none" w:sz="0" w:space="0" w:color="auto"/>
                <w:right w:val="none" w:sz="0" w:space="0" w:color="auto"/>
              </w:divBdr>
            </w:div>
            <w:div w:id="1497453637">
              <w:marLeft w:val="0"/>
              <w:marRight w:val="0"/>
              <w:marTop w:val="0"/>
              <w:marBottom w:val="0"/>
              <w:divBdr>
                <w:top w:val="none" w:sz="0" w:space="0" w:color="auto"/>
                <w:left w:val="none" w:sz="0" w:space="0" w:color="auto"/>
                <w:bottom w:val="none" w:sz="0" w:space="0" w:color="auto"/>
                <w:right w:val="none" w:sz="0" w:space="0" w:color="auto"/>
              </w:divBdr>
            </w:div>
            <w:div w:id="2012564503">
              <w:marLeft w:val="0"/>
              <w:marRight w:val="0"/>
              <w:marTop w:val="0"/>
              <w:marBottom w:val="0"/>
              <w:divBdr>
                <w:top w:val="none" w:sz="0" w:space="0" w:color="auto"/>
                <w:left w:val="none" w:sz="0" w:space="0" w:color="auto"/>
                <w:bottom w:val="none" w:sz="0" w:space="0" w:color="auto"/>
                <w:right w:val="none" w:sz="0" w:space="0" w:color="auto"/>
              </w:divBdr>
            </w:div>
            <w:div w:id="748117161">
              <w:marLeft w:val="0"/>
              <w:marRight w:val="0"/>
              <w:marTop w:val="0"/>
              <w:marBottom w:val="0"/>
              <w:divBdr>
                <w:top w:val="none" w:sz="0" w:space="0" w:color="auto"/>
                <w:left w:val="none" w:sz="0" w:space="0" w:color="auto"/>
                <w:bottom w:val="none" w:sz="0" w:space="0" w:color="auto"/>
                <w:right w:val="none" w:sz="0" w:space="0" w:color="auto"/>
              </w:divBdr>
            </w:div>
            <w:div w:id="16931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22242">
      <w:bodyDiv w:val="1"/>
      <w:marLeft w:val="0"/>
      <w:marRight w:val="0"/>
      <w:marTop w:val="0"/>
      <w:marBottom w:val="0"/>
      <w:divBdr>
        <w:top w:val="none" w:sz="0" w:space="0" w:color="auto"/>
        <w:left w:val="none" w:sz="0" w:space="0" w:color="auto"/>
        <w:bottom w:val="none" w:sz="0" w:space="0" w:color="auto"/>
        <w:right w:val="none" w:sz="0" w:space="0" w:color="auto"/>
      </w:divBdr>
    </w:div>
    <w:div w:id="1061751226">
      <w:bodyDiv w:val="1"/>
      <w:marLeft w:val="0"/>
      <w:marRight w:val="0"/>
      <w:marTop w:val="0"/>
      <w:marBottom w:val="0"/>
      <w:divBdr>
        <w:top w:val="none" w:sz="0" w:space="0" w:color="auto"/>
        <w:left w:val="none" w:sz="0" w:space="0" w:color="auto"/>
        <w:bottom w:val="none" w:sz="0" w:space="0" w:color="auto"/>
        <w:right w:val="none" w:sz="0" w:space="0" w:color="auto"/>
      </w:divBdr>
      <w:divsChild>
        <w:div w:id="1938056314">
          <w:marLeft w:val="480"/>
          <w:marRight w:val="0"/>
          <w:marTop w:val="0"/>
          <w:marBottom w:val="0"/>
          <w:divBdr>
            <w:top w:val="none" w:sz="0" w:space="0" w:color="auto"/>
            <w:left w:val="none" w:sz="0" w:space="0" w:color="auto"/>
            <w:bottom w:val="none" w:sz="0" w:space="0" w:color="auto"/>
            <w:right w:val="none" w:sz="0" w:space="0" w:color="auto"/>
          </w:divBdr>
          <w:divsChild>
            <w:div w:id="1685596110">
              <w:marLeft w:val="0"/>
              <w:marRight w:val="0"/>
              <w:marTop w:val="0"/>
              <w:marBottom w:val="0"/>
              <w:divBdr>
                <w:top w:val="none" w:sz="0" w:space="0" w:color="auto"/>
                <w:left w:val="none" w:sz="0" w:space="0" w:color="auto"/>
                <w:bottom w:val="none" w:sz="0" w:space="0" w:color="auto"/>
                <w:right w:val="none" w:sz="0" w:space="0" w:color="auto"/>
              </w:divBdr>
            </w:div>
            <w:div w:id="684016057">
              <w:marLeft w:val="0"/>
              <w:marRight w:val="0"/>
              <w:marTop w:val="0"/>
              <w:marBottom w:val="0"/>
              <w:divBdr>
                <w:top w:val="none" w:sz="0" w:space="0" w:color="auto"/>
                <w:left w:val="none" w:sz="0" w:space="0" w:color="auto"/>
                <w:bottom w:val="none" w:sz="0" w:space="0" w:color="auto"/>
                <w:right w:val="none" w:sz="0" w:space="0" w:color="auto"/>
              </w:divBdr>
            </w:div>
            <w:div w:id="1960602344">
              <w:marLeft w:val="0"/>
              <w:marRight w:val="0"/>
              <w:marTop w:val="0"/>
              <w:marBottom w:val="0"/>
              <w:divBdr>
                <w:top w:val="none" w:sz="0" w:space="0" w:color="auto"/>
                <w:left w:val="none" w:sz="0" w:space="0" w:color="auto"/>
                <w:bottom w:val="none" w:sz="0" w:space="0" w:color="auto"/>
                <w:right w:val="none" w:sz="0" w:space="0" w:color="auto"/>
              </w:divBdr>
            </w:div>
            <w:div w:id="1574122529">
              <w:marLeft w:val="0"/>
              <w:marRight w:val="0"/>
              <w:marTop w:val="0"/>
              <w:marBottom w:val="0"/>
              <w:divBdr>
                <w:top w:val="none" w:sz="0" w:space="0" w:color="auto"/>
                <w:left w:val="none" w:sz="0" w:space="0" w:color="auto"/>
                <w:bottom w:val="none" w:sz="0" w:space="0" w:color="auto"/>
                <w:right w:val="none" w:sz="0" w:space="0" w:color="auto"/>
              </w:divBdr>
            </w:div>
            <w:div w:id="1789153910">
              <w:marLeft w:val="0"/>
              <w:marRight w:val="0"/>
              <w:marTop w:val="0"/>
              <w:marBottom w:val="0"/>
              <w:divBdr>
                <w:top w:val="none" w:sz="0" w:space="0" w:color="auto"/>
                <w:left w:val="none" w:sz="0" w:space="0" w:color="auto"/>
                <w:bottom w:val="none" w:sz="0" w:space="0" w:color="auto"/>
                <w:right w:val="none" w:sz="0" w:space="0" w:color="auto"/>
              </w:divBdr>
            </w:div>
            <w:div w:id="267277118">
              <w:marLeft w:val="0"/>
              <w:marRight w:val="0"/>
              <w:marTop w:val="0"/>
              <w:marBottom w:val="0"/>
              <w:divBdr>
                <w:top w:val="none" w:sz="0" w:space="0" w:color="auto"/>
                <w:left w:val="none" w:sz="0" w:space="0" w:color="auto"/>
                <w:bottom w:val="none" w:sz="0" w:space="0" w:color="auto"/>
                <w:right w:val="none" w:sz="0" w:space="0" w:color="auto"/>
              </w:divBdr>
            </w:div>
            <w:div w:id="227964933">
              <w:marLeft w:val="0"/>
              <w:marRight w:val="0"/>
              <w:marTop w:val="0"/>
              <w:marBottom w:val="0"/>
              <w:divBdr>
                <w:top w:val="none" w:sz="0" w:space="0" w:color="auto"/>
                <w:left w:val="none" w:sz="0" w:space="0" w:color="auto"/>
                <w:bottom w:val="none" w:sz="0" w:space="0" w:color="auto"/>
                <w:right w:val="none" w:sz="0" w:space="0" w:color="auto"/>
              </w:divBdr>
            </w:div>
            <w:div w:id="319581433">
              <w:marLeft w:val="0"/>
              <w:marRight w:val="0"/>
              <w:marTop w:val="0"/>
              <w:marBottom w:val="0"/>
              <w:divBdr>
                <w:top w:val="none" w:sz="0" w:space="0" w:color="auto"/>
                <w:left w:val="none" w:sz="0" w:space="0" w:color="auto"/>
                <w:bottom w:val="none" w:sz="0" w:space="0" w:color="auto"/>
                <w:right w:val="none" w:sz="0" w:space="0" w:color="auto"/>
              </w:divBdr>
            </w:div>
            <w:div w:id="896667672">
              <w:marLeft w:val="0"/>
              <w:marRight w:val="0"/>
              <w:marTop w:val="0"/>
              <w:marBottom w:val="0"/>
              <w:divBdr>
                <w:top w:val="none" w:sz="0" w:space="0" w:color="auto"/>
                <w:left w:val="none" w:sz="0" w:space="0" w:color="auto"/>
                <w:bottom w:val="none" w:sz="0" w:space="0" w:color="auto"/>
                <w:right w:val="none" w:sz="0" w:space="0" w:color="auto"/>
              </w:divBdr>
            </w:div>
            <w:div w:id="1894807839">
              <w:marLeft w:val="0"/>
              <w:marRight w:val="0"/>
              <w:marTop w:val="0"/>
              <w:marBottom w:val="0"/>
              <w:divBdr>
                <w:top w:val="none" w:sz="0" w:space="0" w:color="auto"/>
                <w:left w:val="none" w:sz="0" w:space="0" w:color="auto"/>
                <w:bottom w:val="none" w:sz="0" w:space="0" w:color="auto"/>
                <w:right w:val="none" w:sz="0" w:space="0" w:color="auto"/>
              </w:divBdr>
            </w:div>
            <w:div w:id="1082337228">
              <w:marLeft w:val="0"/>
              <w:marRight w:val="0"/>
              <w:marTop w:val="0"/>
              <w:marBottom w:val="0"/>
              <w:divBdr>
                <w:top w:val="none" w:sz="0" w:space="0" w:color="auto"/>
                <w:left w:val="none" w:sz="0" w:space="0" w:color="auto"/>
                <w:bottom w:val="none" w:sz="0" w:space="0" w:color="auto"/>
                <w:right w:val="none" w:sz="0" w:space="0" w:color="auto"/>
              </w:divBdr>
            </w:div>
            <w:div w:id="1474520038">
              <w:marLeft w:val="0"/>
              <w:marRight w:val="0"/>
              <w:marTop w:val="0"/>
              <w:marBottom w:val="0"/>
              <w:divBdr>
                <w:top w:val="none" w:sz="0" w:space="0" w:color="auto"/>
                <w:left w:val="none" w:sz="0" w:space="0" w:color="auto"/>
                <w:bottom w:val="none" w:sz="0" w:space="0" w:color="auto"/>
                <w:right w:val="none" w:sz="0" w:space="0" w:color="auto"/>
              </w:divBdr>
            </w:div>
            <w:div w:id="447969533">
              <w:marLeft w:val="0"/>
              <w:marRight w:val="0"/>
              <w:marTop w:val="0"/>
              <w:marBottom w:val="0"/>
              <w:divBdr>
                <w:top w:val="none" w:sz="0" w:space="0" w:color="auto"/>
                <w:left w:val="none" w:sz="0" w:space="0" w:color="auto"/>
                <w:bottom w:val="none" w:sz="0" w:space="0" w:color="auto"/>
                <w:right w:val="none" w:sz="0" w:space="0" w:color="auto"/>
              </w:divBdr>
            </w:div>
            <w:div w:id="589891263">
              <w:marLeft w:val="0"/>
              <w:marRight w:val="0"/>
              <w:marTop w:val="0"/>
              <w:marBottom w:val="0"/>
              <w:divBdr>
                <w:top w:val="none" w:sz="0" w:space="0" w:color="auto"/>
                <w:left w:val="none" w:sz="0" w:space="0" w:color="auto"/>
                <w:bottom w:val="none" w:sz="0" w:space="0" w:color="auto"/>
                <w:right w:val="none" w:sz="0" w:space="0" w:color="auto"/>
              </w:divBdr>
            </w:div>
            <w:div w:id="1187404398">
              <w:marLeft w:val="0"/>
              <w:marRight w:val="0"/>
              <w:marTop w:val="0"/>
              <w:marBottom w:val="0"/>
              <w:divBdr>
                <w:top w:val="none" w:sz="0" w:space="0" w:color="auto"/>
                <w:left w:val="none" w:sz="0" w:space="0" w:color="auto"/>
                <w:bottom w:val="none" w:sz="0" w:space="0" w:color="auto"/>
                <w:right w:val="none" w:sz="0" w:space="0" w:color="auto"/>
              </w:divBdr>
            </w:div>
            <w:div w:id="1662854877">
              <w:marLeft w:val="0"/>
              <w:marRight w:val="0"/>
              <w:marTop w:val="0"/>
              <w:marBottom w:val="0"/>
              <w:divBdr>
                <w:top w:val="none" w:sz="0" w:space="0" w:color="auto"/>
                <w:left w:val="none" w:sz="0" w:space="0" w:color="auto"/>
                <w:bottom w:val="none" w:sz="0" w:space="0" w:color="auto"/>
                <w:right w:val="none" w:sz="0" w:space="0" w:color="auto"/>
              </w:divBdr>
            </w:div>
            <w:div w:id="2061513169">
              <w:marLeft w:val="0"/>
              <w:marRight w:val="0"/>
              <w:marTop w:val="0"/>
              <w:marBottom w:val="0"/>
              <w:divBdr>
                <w:top w:val="none" w:sz="0" w:space="0" w:color="auto"/>
                <w:left w:val="none" w:sz="0" w:space="0" w:color="auto"/>
                <w:bottom w:val="none" w:sz="0" w:space="0" w:color="auto"/>
                <w:right w:val="none" w:sz="0" w:space="0" w:color="auto"/>
              </w:divBdr>
            </w:div>
            <w:div w:id="876694788">
              <w:marLeft w:val="0"/>
              <w:marRight w:val="0"/>
              <w:marTop w:val="0"/>
              <w:marBottom w:val="0"/>
              <w:divBdr>
                <w:top w:val="none" w:sz="0" w:space="0" w:color="auto"/>
                <w:left w:val="none" w:sz="0" w:space="0" w:color="auto"/>
                <w:bottom w:val="none" w:sz="0" w:space="0" w:color="auto"/>
                <w:right w:val="none" w:sz="0" w:space="0" w:color="auto"/>
              </w:divBdr>
            </w:div>
            <w:div w:id="576984741">
              <w:marLeft w:val="0"/>
              <w:marRight w:val="0"/>
              <w:marTop w:val="0"/>
              <w:marBottom w:val="0"/>
              <w:divBdr>
                <w:top w:val="none" w:sz="0" w:space="0" w:color="auto"/>
                <w:left w:val="none" w:sz="0" w:space="0" w:color="auto"/>
                <w:bottom w:val="none" w:sz="0" w:space="0" w:color="auto"/>
                <w:right w:val="none" w:sz="0" w:space="0" w:color="auto"/>
              </w:divBdr>
            </w:div>
            <w:div w:id="1001665776">
              <w:marLeft w:val="0"/>
              <w:marRight w:val="0"/>
              <w:marTop w:val="0"/>
              <w:marBottom w:val="0"/>
              <w:divBdr>
                <w:top w:val="none" w:sz="0" w:space="0" w:color="auto"/>
                <w:left w:val="none" w:sz="0" w:space="0" w:color="auto"/>
                <w:bottom w:val="none" w:sz="0" w:space="0" w:color="auto"/>
                <w:right w:val="none" w:sz="0" w:space="0" w:color="auto"/>
              </w:divBdr>
            </w:div>
            <w:div w:id="1674801932">
              <w:marLeft w:val="0"/>
              <w:marRight w:val="0"/>
              <w:marTop w:val="0"/>
              <w:marBottom w:val="0"/>
              <w:divBdr>
                <w:top w:val="none" w:sz="0" w:space="0" w:color="auto"/>
                <w:left w:val="none" w:sz="0" w:space="0" w:color="auto"/>
                <w:bottom w:val="none" w:sz="0" w:space="0" w:color="auto"/>
                <w:right w:val="none" w:sz="0" w:space="0" w:color="auto"/>
              </w:divBdr>
            </w:div>
            <w:div w:id="1081021761">
              <w:marLeft w:val="0"/>
              <w:marRight w:val="0"/>
              <w:marTop w:val="0"/>
              <w:marBottom w:val="0"/>
              <w:divBdr>
                <w:top w:val="none" w:sz="0" w:space="0" w:color="auto"/>
                <w:left w:val="none" w:sz="0" w:space="0" w:color="auto"/>
                <w:bottom w:val="none" w:sz="0" w:space="0" w:color="auto"/>
                <w:right w:val="none" w:sz="0" w:space="0" w:color="auto"/>
              </w:divBdr>
            </w:div>
            <w:div w:id="2071030259">
              <w:marLeft w:val="0"/>
              <w:marRight w:val="0"/>
              <w:marTop w:val="0"/>
              <w:marBottom w:val="0"/>
              <w:divBdr>
                <w:top w:val="none" w:sz="0" w:space="0" w:color="auto"/>
                <w:left w:val="none" w:sz="0" w:space="0" w:color="auto"/>
                <w:bottom w:val="none" w:sz="0" w:space="0" w:color="auto"/>
                <w:right w:val="none" w:sz="0" w:space="0" w:color="auto"/>
              </w:divBdr>
            </w:div>
            <w:div w:id="1007633162">
              <w:marLeft w:val="0"/>
              <w:marRight w:val="0"/>
              <w:marTop w:val="0"/>
              <w:marBottom w:val="0"/>
              <w:divBdr>
                <w:top w:val="none" w:sz="0" w:space="0" w:color="auto"/>
                <w:left w:val="none" w:sz="0" w:space="0" w:color="auto"/>
                <w:bottom w:val="none" w:sz="0" w:space="0" w:color="auto"/>
                <w:right w:val="none" w:sz="0" w:space="0" w:color="auto"/>
              </w:divBdr>
            </w:div>
            <w:div w:id="1930499751">
              <w:marLeft w:val="0"/>
              <w:marRight w:val="0"/>
              <w:marTop w:val="0"/>
              <w:marBottom w:val="0"/>
              <w:divBdr>
                <w:top w:val="none" w:sz="0" w:space="0" w:color="auto"/>
                <w:left w:val="none" w:sz="0" w:space="0" w:color="auto"/>
                <w:bottom w:val="none" w:sz="0" w:space="0" w:color="auto"/>
                <w:right w:val="none" w:sz="0" w:space="0" w:color="auto"/>
              </w:divBdr>
            </w:div>
            <w:div w:id="2372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71388">
      <w:bodyDiv w:val="1"/>
      <w:marLeft w:val="0"/>
      <w:marRight w:val="0"/>
      <w:marTop w:val="0"/>
      <w:marBottom w:val="0"/>
      <w:divBdr>
        <w:top w:val="none" w:sz="0" w:space="0" w:color="auto"/>
        <w:left w:val="none" w:sz="0" w:space="0" w:color="auto"/>
        <w:bottom w:val="none" w:sz="0" w:space="0" w:color="auto"/>
        <w:right w:val="none" w:sz="0" w:space="0" w:color="auto"/>
      </w:divBdr>
      <w:divsChild>
        <w:div w:id="195582303">
          <w:marLeft w:val="480"/>
          <w:marRight w:val="0"/>
          <w:marTop w:val="0"/>
          <w:marBottom w:val="0"/>
          <w:divBdr>
            <w:top w:val="none" w:sz="0" w:space="0" w:color="auto"/>
            <w:left w:val="none" w:sz="0" w:space="0" w:color="auto"/>
            <w:bottom w:val="none" w:sz="0" w:space="0" w:color="auto"/>
            <w:right w:val="none" w:sz="0" w:space="0" w:color="auto"/>
          </w:divBdr>
          <w:divsChild>
            <w:div w:id="1424112775">
              <w:marLeft w:val="0"/>
              <w:marRight w:val="0"/>
              <w:marTop w:val="0"/>
              <w:marBottom w:val="0"/>
              <w:divBdr>
                <w:top w:val="none" w:sz="0" w:space="0" w:color="auto"/>
                <w:left w:val="none" w:sz="0" w:space="0" w:color="auto"/>
                <w:bottom w:val="none" w:sz="0" w:space="0" w:color="auto"/>
                <w:right w:val="none" w:sz="0" w:space="0" w:color="auto"/>
              </w:divBdr>
            </w:div>
            <w:div w:id="640622465">
              <w:marLeft w:val="0"/>
              <w:marRight w:val="0"/>
              <w:marTop w:val="0"/>
              <w:marBottom w:val="0"/>
              <w:divBdr>
                <w:top w:val="none" w:sz="0" w:space="0" w:color="auto"/>
                <w:left w:val="none" w:sz="0" w:space="0" w:color="auto"/>
                <w:bottom w:val="none" w:sz="0" w:space="0" w:color="auto"/>
                <w:right w:val="none" w:sz="0" w:space="0" w:color="auto"/>
              </w:divBdr>
            </w:div>
            <w:div w:id="480386734">
              <w:marLeft w:val="0"/>
              <w:marRight w:val="0"/>
              <w:marTop w:val="0"/>
              <w:marBottom w:val="0"/>
              <w:divBdr>
                <w:top w:val="none" w:sz="0" w:space="0" w:color="auto"/>
                <w:left w:val="none" w:sz="0" w:space="0" w:color="auto"/>
                <w:bottom w:val="none" w:sz="0" w:space="0" w:color="auto"/>
                <w:right w:val="none" w:sz="0" w:space="0" w:color="auto"/>
              </w:divBdr>
            </w:div>
            <w:div w:id="56982021">
              <w:marLeft w:val="0"/>
              <w:marRight w:val="0"/>
              <w:marTop w:val="0"/>
              <w:marBottom w:val="0"/>
              <w:divBdr>
                <w:top w:val="none" w:sz="0" w:space="0" w:color="auto"/>
                <w:left w:val="none" w:sz="0" w:space="0" w:color="auto"/>
                <w:bottom w:val="none" w:sz="0" w:space="0" w:color="auto"/>
                <w:right w:val="none" w:sz="0" w:space="0" w:color="auto"/>
              </w:divBdr>
            </w:div>
            <w:div w:id="854729348">
              <w:marLeft w:val="0"/>
              <w:marRight w:val="0"/>
              <w:marTop w:val="0"/>
              <w:marBottom w:val="0"/>
              <w:divBdr>
                <w:top w:val="none" w:sz="0" w:space="0" w:color="auto"/>
                <w:left w:val="none" w:sz="0" w:space="0" w:color="auto"/>
                <w:bottom w:val="none" w:sz="0" w:space="0" w:color="auto"/>
                <w:right w:val="none" w:sz="0" w:space="0" w:color="auto"/>
              </w:divBdr>
            </w:div>
            <w:div w:id="984969837">
              <w:marLeft w:val="0"/>
              <w:marRight w:val="0"/>
              <w:marTop w:val="0"/>
              <w:marBottom w:val="0"/>
              <w:divBdr>
                <w:top w:val="none" w:sz="0" w:space="0" w:color="auto"/>
                <w:left w:val="none" w:sz="0" w:space="0" w:color="auto"/>
                <w:bottom w:val="none" w:sz="0" w:space="0" w:color="auto"/>
                <w:right w:val="none" w:sz="0" w:space="0" w:color="auto"/>
              </w:divBdr>
            </w:div>
            <w:div w:id="1797796964">
              <w:marLeft w:val="0"/>
              <w:marRight w:val="0"/>
              <w:marTop w:val="0"/>
              <w:marBottom w:val="0"/>
              <w:divBdr>
                <w:top w:val="none" w:sz="0" w:space="0" w:color="auto"/>
                <w:left w:val="none" w:sz="0" w:space="0" w:color="auto"/>
                <w:bottom w:val="none" w:sz="0" w:space="0" w:color="auto"/>
                <w:right w:val="none" w:sz="0" w:space="0" w:color="auto"/>
              </w:divBdr>
            </w:div>
            <w:div w:id="77413327">
              <w:marLeft w:val="0"/>
              <w:marRight w:val="0"/>
              <w:marTop w:val="0"/>
              <w:marBottom w:val="0"/>
              <w:divBdr>
                <w:top w:val="none" w:sz="0" w:space="0" w:color="auto"/>
                <w:left w:val="none" w:sz="0" w:space="0" w:color="auto"/>
                <w:bottom w:val="none" w:sz="0" w:space="0" w:color="auto"/>
                <w:right w:val="none" w:sz="0" w:space="0" w:color="auto"/>
              </w:divBdr>
            </w:div>
            <w:div w:id="38827005">
              <w:marLeft w:val="0"/>
              <w:marRight w:val="0"/>
              <w:marTop w:val="0"/>
              <w:marBottom w:val="0"/>
              <w:divBdr>
                <w:top w:val="none" w:sz="0" w:space="0" w:color="auto"/>
                <w:left w:val="none" w:sz="0" w:space="0" w:color="auto"/>
                <w:bottom w:val="none" w:sz="0" w:space="0" w:color="auto"/>
                <w:right w:val="none" w:sz="0" w:space="0" w:color="auto"/>
              </w:divBdr>
            </w:div>
            <w:div w:id="1490100610">
              <w:marLeft w:val="0"/>
              <w:marRight w:val="0"/>
              <w:marTop w:val="0"/>
              <w:marBottom w:val="0"/>
              <w:divBdr>
                <w:top w:val="none" w:sz="0" w:space="0" w:color="auto"/>
                <w:left w:val="none" w:sz="0" w:space="0" w:color="auto"/>
                <w:bottom w:val="none" w:sz="0" w:space="0" w:color="auto"/>
                <w:right w:val="none" w:sz="0" w:space="0" w:color="auto"/>
              </w:divBdr>
            </w:div>
            <w:div w:id="470638083">
              <w:marLeft w:val="0"/>
              <w:marRight w:val="0"/>
              <w:marTop w:val="0"/>
              <w:marBottom w:val="0"/>
              <w:divBdr>
                <w:top w:val="none" w:sz="0" w:space="0" w:color="auto"/>
                <w:left w:val="none" w:sz="0" w:space="0" w:color="auto"/>
                <w:bottom w:val="none" w:sz="0" w:space="0" w:color="auto"/>
                <w:right w:val="none" w:sz="0" w:space="0" w:color="auto"/>
              </w:divBdr>
            </w:div>
            <w:div w:id="728067563">
              <w:marLeft w:val="0"/>
              <w:marRight w:val="0"/>
              <w:marTop w:val="0"/>
              <w:marBottom w:val="0"/>
              <w:divBdr>
                <w:top w:val="none" w:sz="0" w:space="0" w:color="auto"/>
                <w:left w:val="none" w:sz="0" w:space="0" w:color="auto"/>
                <w:bottom w:val="none" w:sz="0" w:space="0" w:color="auto"/>
                <w:right w:val="none" w:sz="0" w:space="0" w:color="auto"/>
              </w:divBdr>
            </w:div>
            <w:div w:id="2103723893">
              <w:marLeft w:val="0"/>
              <w:marRight w:val="0"/>
              <w:marTop w:val="0"/>
              <w:marBottom w:val="0"/>
              <w:divBdr>
                <w:top w:val="none" w:sz="0" w:space="0" w:color="auto"/>
                <w:left w:val="none" w:sz="0" w:space="0" w:color="auto"/>
                <w:bottom w:val="none" w:sz="0" w:space="0" w:color="auto"/>
                <w:right w:val="none" w:sz="0" w:space="0" w:color="auto"/>
              </w:divBdr>
            </w:div>
            <w:div w:id="1669165054">
              <w:marLeft w:val="0"/>
              <w:marRight w:val="0"/>
              <w:marTop w:val="0"/>
              <w:marBottom w:val="0"/>
              <w:divBdr>
                <w:top w:val="none" w:sz="0" w:space="0" w:color="auto"/>
                <w:left w:val="none" w:sz="0" w:space="0" w:color="auto"/>
                <w:bottom w:val="none" w:sz="0" w:space="0" w:color="auto"/>
                <w:right w:val="none" w:sz="0" w:space="0" w:color="auto"/>
              </w:divBdr>
            </w:div>
            <w:div w:id="167523201">
              <w:marLeft w:val="0"/>
              <w:marRight w:val="0"/>
              <w:marTop w:val="0"/>
              <w:marBottom w:val="0"/>
              <w:divBdr>
                <w:top w:val="none" w:sz="0" w:space="0" w:color="auto"/>
                <w:left w:val="none" w:sz="0" w:space="0" w:color="auto"/>
                <w:bottom w:val="none" w:sz="0" w:space="0" w:color="auto"/>
                <w:right w:val="none" w:sz="0" w:space="0" w:color="auto"/>
              </w:divBdr>
            </w:div>
            <w:div w:id="2028166831">
              <w:marLeft w:val="0"/>
              <w:marRight w:val="0"/>
              <w:marTop w:val="0"/>
              <w:marBottom w:val="0"/>
              <w:divBdr>
                <w:top w:val="none" w:sz="0" w:space="0" w:color="auto"/>
                <w:left w:val="none" w:sz="0" w:space="0" w:color="auto"/>
                <w:bottom w:val="none" w:sz="0" w:space="0" w:color="auto"/>
                <w:right w:val="none" w:sz="0" w:space="0" w:color="auto"/>
              </w:divBdr>
            </w:div>
            <w:div w:id="294678667">
              <w:marLeft w:val="0"/>
              <w:marRight w:val="0"/>
              <w:marTop w:val="0"/>
              <w:marBottom w:val="0"/>
              <w:divBdr>
                <w:top w:val="none" w:sz="0" w:space="0" w:color="auto"/>
                <w:left w:val="none" w:sz="0" w:space="0" w:color="auto"/>
                <w:bottom w:val="none" w:sz="0" w:space="0" w:color="auto"/>
                <w:right w:val="none" w:sz="0" w:space="0" w:color="auto"/>
              </w:divBdr>
            </w:div>
            <w:div w:id="954286604">
              <w:marLeft w:val="0"/>
              <w:marRight w:val="0"/>
              <w:marTop w:val="0"/>
              <w:marBottom w:val="0"/>
              <w:divBdr>
                <w:top w:val="none" w:sz="0" w:space="0" w:color="auto"/>
                <w:left w:val="none" w:sz="0" w:space="0" w:color="auto"/>
                <w:bottom w:val="none" w:sz="0" w:space="0" w:color="auto"/>
                <w:right w:val="none" w:sz="0" w:space="0" w:color="auto"/>
              </w:divBdr>
            </w:div>
            <w:div w:id="1786844052">
              <w:marLeft w:val="0"/>
              <w:marRight w:val="0"/>
              <w:marTop w:val="0"/>
              <w:marBottom w:val="0"/>
              <w:divBdr>
                <w:top w:val="none" w:sz="0" w:space="0" w:color="auto"/>
                <w:left w:val="none" w:sz="0" w:space="0" w:color="auto"/>
                <w:bottom w:val="none" w:sz="0" w:space="0" w:color="auto"/>
                <w:right w:val="none" w:sz="0" w:space="0" w:color="auto"/>
              </w:divBdr>
            </w:div>
            <w:div w:id="709652474">
              <w:marLeft w:val="0"/>
              <w:marRight w:val="0"/>
              <w:marTop w:val="0"/>
              <w:marBottom w:val="0"/>
              <w:divBdr>
                <w:top w:val="none" w:sz="0" w:space="0" w:color="auto"/>
                <w:left w:val="none" w:sz="0" w:space="0" w:color="auto"/>
                <w:bottom w:val="none" w:sz="0" w:space="0" w:color="auto"/>
                <w:right w:val="none" w:sz="0" w:space="0" w:color="auto"/>
              </w:divBdr>
            </w:div>
            <w:div w:id="1653948960">
              <w:marLeft w:val="0"/>
              <w:marRight w:val="0"/>
              <w:marTop w:val="0"/>
              <w:marBottom w:val="0"/>
              <w:divBdr>
                <w:top w:val="none" w:sz="0" w:space="0" w:color="auto"/>
                <w:left w:val="none" w:sz="0" w:space="0" w:color="auto"/>
                <w:bottom w:val="none" w:sz="0" w:space="0" w:color="auto"/>
                <w:right w:val="none" w:sz="0" w:space="0" w:color="auto"/>
              </w:divBdr>
            </w:div>
            <w:div w:id="1531256746">
              <w:marLeft w:val="0"/>
              <w:marRight w:val="0"/>
              <w:marTop w:val="0"/>
              <w:marBottom w:val="0"/>
              <w:divBdr>
                <w:top w:val="none" w:sz="0" w:space="0" w:color="auto"/>
                <w:left w:val="none" w:sz="0" w:space="0" w:color="auto"/>
                <w:bottom w:val="none" w:sz="0" w:space="0" w:color="auto"/>
                <w:right w:val="none" w:sz="0" w:space="0" w:color="auto"/>
              </w:divBdr>
            </w:div>
            <w:div w:id="1563907401">
              <w:marLeft w:val="0"/>
              <w:marRight w:val="0"/>
              <w:marTop w:val="0"/>
              <w:marBottom w:val="0"/>
              <w:divBdr>
                <w:top w:val="none" w:sz="0" w:space="0" w:color="auto"/>
                <w:left w:val="none" w:sz="0" w:space="0" w:color="auto"/>
                <w:bottom w:val="none" w:sz="0" w:space="0" w:color="auto"/>
                <w:right w:val="none" w:sz="0" w:space="0" w:color="auto"/>
              </w:divBdr>
            </w:div>
            <w:div w:id="2081706415">
              <w:marLeft w:val="0"/>
              <w:marRight w:val="0"/>
              <w:marTop w:val="0"/>
              <w:marBottom w:val="0"/>
              <w:divBdr>
                <w:top w:val="none" w:sz="0" w:space="0" w:color="auto"/>
                <w:left w:val="none" w:sz="0" w:space="0" w:color="auto"/>
                <w:bottom w:val="none" w:sz="0" w:space="0" w:color="auto"/>
                <w:right w:val="none" w:sz="0" w:space="0" w:color="auto"/>
              </w:divBdr>
            </w:div>
            <w:div w:id="1155878627">
              <w:marLeft w:val="0"/>
              <w:marRight w:val="0"/>
              <w:marTop w:val="0"/>
              <w:marBottom w:val="0"/>
              <w:divBdr>
                <w:top w:val="none" w:sz="0" w:space="0" w:color="auto"/>
                <w:left w:val="none" w:sz="0" w:space="0" w:color="auto"/>
                <w:bottom w:val="none" w:sz="0" w:space="0" w:color="auto"/>
                <w:right w:val="none" w:sz="0" w:space="0" w:color="auto"/>
              </w:divBdr>
            </w:div>
            <w:div w:id="20398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3474">
      <w:bodyDiv w:val="1"/>
      <w:marLeft w:val="0"/>
      <w:marRight w:val="0"/>
      <w:marTop w:val="0"/>
      <w:marBottom w:val="0"/>
      <w:divBdr>
        <w:top w:val="none" w:sz="0" w:space="0" w:color="auto"/>
        <w:left w:val="none" w:sz="0" w:space="0" w:color="auto"/>
        <w:bottom w:val="none" w:sz="0" w:space="0" w:color="auto"/>
        <w:right w:val="none" w:sz="0" w:space="0" w:color="auto"/>
      </w:divBdr>
      <w:divsChild>
        <w:div w:id="2074767890">
          <w:marLeft w:val="480"/>
          <w:marRight w:val="0"/>
          <w:marTop w:val="0"/>
          <w:marBottom w:val="0"/>
          <w:divBdr>
            <w:top w:val="none" w:sz="0" w:space="0" w:color="auto"/>
            <w:left w:val="none" w:sz="0" w:space="0" w:color="auto"/>
            <w:bottom w:val="none" w:sz="0" w:space="0" w:color="auto"/>
            <w:right w:val="none" w:sz="0" w:space="0" w:color="auto"/>
          </w:divBdr>
          <w:divsChild>
            <w:div w:id="913050037">
              <w:marLeft w:val="0"/>
              <w:marRight w:val="0"/>
              <w:marTop w:val="0"/>
              <w:marBottom w:val="0"/>
              <w:divBdr>
                <w:top w:val="none" w:sz="0" w:space="0" w:color="auto"/>
                <w:left w:val="none" w:sz="0" w:space="0" w:color="auto"/>
                <w:bottom w:val="none" w:sz="0" w:space="0" w:color="auto"/>
                <w:right w:val="none" w:sz="0" w:space="0" w:color="auto"/>
              </w:divBdr>
            </w:div>
            <w:div w:id="16656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2783">
      <w:bodyDiv w:val="1"/>
      <w:marLeft w:val="0"/>
      <w:marRight w:val="0"/>
      <w:marTop w:val="0"/>
      <w:marBottom w:val="0"/>
      <w:divBdr>
        <w:top w:val="none" w:sz="0" w:space="0" w:color="auto"/>
        <w:left w:val="none" w:sz="0" w:space="0" w:color="auto"/>
        <w:bottom w:val="none" w:sz="0" w:space="0" w:color="auto"/>
        <w:right w:val="none" w:sz="0" w:space="0" w:color="auto"/>
      </w:divBdr>
      <w:divsChild>
        <w:div w:id="213855698">
          <w:marLeft w:val="480"/>
          <w:marRight w:val="0"/>
          <w:marTop w:val="0"/>
          <w:marBottom w:val="0"/>
          <w:divBdr>
            <w:top w:val="none" w:sz="0" w:space="0" w:color="auto"/>
            <w:left w:val="none" w:sz="0" w:space="0" w:color="auto"/>
            <w:bottom w:val="none" w:sz="0" w:space="0" w:color="auto"/>
            <w:right w:val="none" w:sz="0" w:space="0" w:color="auto"/>
          </w:divBdr>
          <w:divsChild>
            <w:div w:id="1339847816">
              <w:marLeft w:val="0"/>
              <w:marRight w:val="0"/>
              <w:marTop w:val="0"/>
              <w:marBottom w:val="0"/>
              <w:divBdr>
                <w:top w:val="none" w:sz="0" w:space="0" w:color="auto"/>
                <w:left w:val="none" w:sz="0" w:space="0" w:color="auto"/>
                <w:bottom w:val="none" w:sz="0" w:space="0" w:color="auto"/>
                <w:right w:val="none" w:sz="0" w:space="0" w:color="auto"/>
              </w:divBdr>
            </w:div>
            <w:div w:id="771899125">
              <w:marLeft w:val="0"/>
              <w:marRight w:val="0"/>
              <w:marTop w:val="0"/>
              <w:marBottom w:val="0"/>
              <w:divBdr>
                <w:top w:val="none" w:sz="0" w:space="0" w:color="auto"/>
                <w:left w:val="none" w:sz="0" w:space="0" w:color="auto"/>
                <w:bottom w:val="none" w:sz="0" w:space="0" w:color="auto"/>
                <w:right w:val="none" w:sz="0" w:space="0" w:color="auto"/>
              </w:divBdr>
            </w:div>
            <w:div w:id="1649701812">
              <w:marLeft w:val="0"/>
              <w:marRight w:val="0"/>
              <w:marTop w:val="0"/>
              <w:marBottom w:val="0"/>
              <w:divBdr>
                <w:top w:val="none" w:sz="0" w:space="0" w:color="auto"/>
                <w:left w:val="none" w:sz="0" w:space="0" w:color="auto"/>
                <w:bottom w:val="none" w:sz="0" w:space="0" w:color="auto"/>
                <w:right w:val="none" w:sz="0" w:space="0" w:color="auto"/>
              </w:divBdr>
            </w:div>
            <w:div w:id="1897276779">
              <w:marLeft w:val="0"/>
              <w:marRight w:val="0"/>
              <w:marTop w:val="0"/>
              <w:marBottom w:val="0"/>
              <w:divBdr>
                <w:top w:val="none" w:sz="0" w:space="0" w:color="auto"/>
                <w:left w:val="none" w:sz="0" w:space="0" w:color="auto"/>
                <w:bottom w:val="none" w:sz="0" w:space="0" w:color="auto"/>
                <w:right w:val="none" w:sz="0" w:space="0" w:color="auto"/>
              </w:divBdr>
            </w:div>
            <w:div w:id="46227906">
              <w:marLeft w:val="0"/>
              <w:marRight w:val="0"/>
              <w:marTop w:val="0"/>
              <w:marBottom w:val="0"/>
              <w:divBdr>
                <w:top w:val="none" w:sz="0" w:space="0" w:color="auto"/>
                <w:left w:val="none" w:sz="0" w:space="0" w:color="auto"/>
                <w:bottom w:val="none" w:sz="0" w:space="0" w:color="auto"/>
                <w:right w:val="none" w:sz="0" w:space="0" w:color="auto"/>
              </w:divBdr>
            </w:div>
            <w:div w:id="1948465961">
              <w:marLeft w:val="0"/>
              <w:marRight w:val="0"/>
              <w:marTop w:val="0"/>
              <w:marBottom w:val="0"/>
              <w:divBdr>
                <w:top w:val="none" w:sz="0" w:space="0" w:color="auto"/>
                <w:left w:val="none" w:sz="0" w:space="0" w:color="auto"/>
                <w:bottom w:val="none" w:sz="0" w:space="0" w:color="auto"/>
                <w:right w:val="none" w:sz="0" w:space="0" w:color="auto"/>
              </w:divBdr>
            </w:div>
            <w:div w:id="943346481">
              <w:marLeft w:val="0"/>
              <w:marRight w:val="0"/>
              <w:marTop w:val="0"/>
              <w:marBottom w:val="0"/>
              <w:divBdr>
                <w:top w:val="none" w:sz="0" w:space="0" w:color="auto"/>
                <w:left w:val="none" w:sz="0" w:space="0" w:color="auto"/>
                <w:bottom w:val="none" w:sz="0" w:space="0" w:color="auto"/>
                <w:right w:val="none" w:sz="0" w:space="0" w:color="auto"/>
              </w:divBdr>
            </w:div>
            <w:div w:id="774908900">
              <w:marLeft w:val="0"/>
              <w:marRight w:val="0"/>
              <w:marTop w:val="0"/>
              <w:marBottom w:val="0"/>
              <w:divBdr>
                <w:top w:val="none" w:sz="0" w:space="0" w:color="auto"/>
                <w:left w:val="none" w:sz="0" w:space="0" w:color="auto"/>
                <w:bottom w:val="none" w:sz="0" w:space="0" w:color="auto"/>
                <w:right w:val="none" w:sz="0" w:space="0" w:color="auto"/>
              </w:divBdr>
            </w:div>
            <w:div w:id="1672175844">
              <w:marLeft w:val="0"/>
              <w:marRight w:val="0"/>
              <w:marTop w:val="0"/>
              <w:marBottom w:val="0"/>
              <w:divBdr>
                <w:top w:val="none" w:sz="0" w:space="0" w:color="auto"/>
                <w:left w:val="none" w:sz="0" w:space="0" w:color="auto"/>
                <w:bottom w:val="none" w:sz="0" w:space="0" w:color="auto"/>
                <w:right w:val="none" w:sz="0" w:space="0" w:color="auto"/>
              </w:divBdr>
            </w:div>
            <w:div w:id="680202992">
              <w:marLeft w:val="0"/>
              <w:marRight w:val="0"/>
              <w:marTop w:val="0"/>
              <w:marBottom w:val="0"/>
              <w:divBdr>
                <w:top w:val="none" w:sz="0" w:space="0" w:color="auto"/>
                <w:left w:val="none" w:sz="0" w:space="0" w:color="auto"/>
                <w:bottom w:val="none" w:sz="0" w:space="0" w:color="auto"/>
                <w:right w:val="none" w:sz="0" w:space="0" w:color="auto"/>
              </w:divBdr>
            </w:div>
            <w:div w:id="153109843">
              <w:marLeft w:val="0"/>
              <w:marRight w:val="0"/>
              <w:marTop w:val="0"/>
              <w:marBottom w:val="0"/>
              <w:divBdr>
                <w:top w:val="none" w:sz="0" w:space="0" w:color="auto"/>
                <w:left w:val="none" w:sz="0" w:space="0" w:color="auto"/>
                <w:bottom w:val="none" w:sz="0" w:space="0" w:color="auto"/>
                <w:right w:val="none" w:sz="0" w:space="0" w:color="auto"/>
              </w:divBdr>
            </w:div>
            <w:div w:id="314843665">
              <w:marLeft w:val="0"/>
              <w:marRight w:val="0"/>
              <w:marTop w:val="0"/>
              <w:marBottom w:val="0"/>
              <w:divBdr>
                <w:top w:val="none" w:sz="0" w:space="0" w:color="auto"/>
                <w:left w:val="none" w:sz="0" w:space="0" w:color="auto"/>
                <w:bottom w:val="none" w:sz="0" w:space="0" w:color="auto"/>
                <w:right w:val="none" w:sz="0" w:space="0" w:color="auto"/>
              </w:divBdr>
            </w:div>
            <w:div w:id="37509237">
              <w:marLeft w:val="0"/>
              <w:marRight w:val="0"/>
              <w:marTop w:val="0"/>
              <w:marBottom w:val="0"/>
              <w:divBdr>
                <w:top w:val="none" w:sz="0" w:space="0" w:color="auto"/>
                <w:left w:val="none" w:sz="0" w:space="0" w:color="auto"/>
                <w:bottom w:val="none" w:sz="0" w:space="0" w:color="auto"/>
                <w:right w:val="none" w:sz="0" w:space="0" w:color="auto"/>
              </w:divBdr>
            </w:div>
            <w:div w:id="818544770">
              <w:marLeft w:val="0"/>
              <w:marRight w:val="0"/>
              <w:marTop w:val="0"/>
              <w:marBottom w:val="0"/>
              <w:divBdr>
                <w:top w:val="none" w:sz="0" w:space="0" w:color="auto"/>
                <w:left w:val="none" w:sz="0" w:space="0" w:color="auto"/>
                <w:bottom w:val="none" w:sz="0" w:space="0" w:color="auto"/>
                <w:right w:val="none" w:sz="0" w:space="0" w:color="auto"/>
              </w:divBdr>
            </w:div>
            <w:div w:id="2057390162">
              <w:marLeft w:val="0"/>
              <w:marRight w:val="0"/>
              <w:marTop w:val="0"/>
              <w:marBottom w:val="0"/>
              <w:divBdr>
                <w:top w:val="none" w:sz="0" w:space="0" w:color="auto"/>
                <w:left w:val="none" w:sz="0" w:space="0" w:color="auto"/>
                <w:bottom w:val="none" w:sz="0" w:space="0" w:color="auto"/>
                <w:right w:val="none" w:sz="0" w:space="0" w:color="auto"/>
              </w:divBdr>
            </w:div>
            <w:div w:id="14698007">
              <w:marLeft w:val="0"/>
              <w:marRight w:val="0"/>
              <w:marTop w:val="0"/>
              <w:marBottom w:val="0"/>
              <w:divBdr>
                <w:top w:val="none" w:sz="0" w:space="0" w:color="auto"/>
                <w:left w:val="none" w:sz="0" w:space="0" w:color="auto"/>
                <w:bottom w:val="none" w:sz="0" w:space="0" w:color="auto"/>
                <w:right w:val="none" w:sz="0" w:space="0" w:color="auto"/>
              </w:divBdr>
            </w:div>
            <w:div w:id="1865632776">
              <w:marLeft w:val="0"/>
              <w:marRight w:val="0"/>
              <w:marTop w:val="0"/>
              <w:marBottom w:val="0"/>
              <w:divBdr>
                <w:top w:val="none" w:sz="0" w:space="0" w:color="auto"/>
                <w:left w:val="none" w:sz="0" w:space="0" w:color="auto"/>
                <w:bottom w:val="none" w:sz="0" w:space="0" w:color="auto"/>
                <w:right w:val="none" w:sz="0" w:space="0" w:color="auto"/>
              </w:divBdr>
            </w:div>
            <w:div w:id="1815024872">
              <w:marLeft w:val="0"/>
              <w:marRight w:val="0"/>
              <w:marTop w:val="0"/>
              <w:marBottom w:val="0"/>
              <w:divBdr>
                <w:top w:val="none" w:sz="0" w:space="0" w:color="auto"/>
                <w:left w:val="none" w:sz="0" w:space="0" w:color="auto"/>
                <w:bottom w:val="none" w:sz="0" w:space="0" w:color="auto"/>
                <w:right w:val="none" w:sz="0" w:space="0" w:color="auto"/>
              </w:divBdr>
            </w:div>
            <w:div w:id="438841463">
              <w:marLeft w:val="0"/>
              <w:marRight w:val="0"/>
              <w:marTop w:val="0"/>
              <w:marBottom w:val="0"/>
              <w:divBdr>
                <w:top w:val="none" w:sz="0" w:space="0" w:color="auto"/>
                <w:left w:val="none" w:sz="0" w:space="0" w:color="auto"/>
                <w:bottom w:val="none" w:sz="0" w:space="0" w:color="auto"/>
                <w:right w:val="none" w:sz="0" w:space="0" w:color="auto"/>
              </w:divBdr>
            </w:div>
            <w:div w:id="1818886221">
              <w:marLeft w:val="0"/>
              <w:marRight w:val="0"/>
              <w:marTop w:val="0"/>
              <w:marBottom w:val="0"/>
              <w:divBdr>
                <w:top w:val="none" w:sz="0" w:space="0" w:color="auto"/>
                <w:left w:val="none" w:sz="0" w:space="0" w:color="auto"/>
                <w:bottom w:val="none" w:sz="0" w:space="0" w:color="auto"/>
                <w:right w:val="none" w:sz="0" w:space="0" w:color="auto"/>
              </w:divBdr>
            </w:div>
            <w:div w:id="131216010">
              <w:marLeft w:val="0"/>
              <w:marRight w:val="0"/>
              <w:marTop w:val="0"/>
              <w:marBottom w:val="0"/>
              <w:divBdr>
                <w:top w:val="none" w:sz="0" w:space="0" w:color="auto"/>
                <w:left w:val="none" w:sz="0" w:space="0" w:color="auto"/>
                <w:bottom w:val="none" w:sz="0" w:space="0" w:color="auto"/>
                <w:right w:val="none" w:sz="0" w:space="0" w:color="auto"/>
              </w:divBdr>
            </w:div>
            <w:div w:id="1768380962">
              <w:marLeft w:val="0"/>
              <w:marRight w:val="0"/>
              <w:marTop w:val="0"/>
              <w:marBottom w:val="0"/>
              <w:divBdr>
                <w:top w:val="none" w:sz="0" w:space="0" w:color="auto"/>
                <w:left w:val="none" w:sz="0" w:space="0" w:color="auto"/>
                <w:bottom w:val="none" w:sz="0" w:space="0" w:color="auto"/>
                <w:right w:val="none" w:sz="0" w:space="0" w:color="auto"/>
              </w:divBdr>
            </w:div>
            <w:div w:id="2007705441">
              <w:marLeft w:val="0"/>
              <w:marRight w:val="0"/>
              <w:marTop w:val="0"/>
              <w:marBottom w:val="0"/>
              <w:divBdr>
                <w:top w:val="none" w:sz="0" w:space="0" w:color="auto"/>
                <w:left w:val="none" w:sz="0" w:space="0" w:color="auto"/>
                <w:bottom w:val="none" w:sz="0" w:space="0" w:color="auto"/>
                <w:right w:val="none" w:sz="0" w:space="0" w:color="auto"/>
              </w:divBdr>
            </w:div>
            <w:div w:id="1503860769">
              <w:marLeft w:val="0"/>
              <w:marRight w:val="0"/>
              <w:marTop w:val="0"/>
              <w:marBottom w:val="0"/>
              <w:divBdr>
                <w:top w:val="none" w:sz="0" w:space="0" w:color="auto"/>
                <w:left w:val="none" w:sz="0" w:space="0" w:color="auto"/>
                <w:bottom w:val="none" w:sz="0" w:space="0" w:color="auto"/>
                <w:right w:val="none" w:sz="0" w:space="0" w:color="auto"/>
              </w:divBdr>
            </w:div>
            <w:div w:id="1192306407">
              <w:marLeft w:val="0"/>
              <w:marRight w:val="0"/>
              <w:marTop w:val="0"/>
              <w:marBottom w:val="0"/>
              <w:divBdr>
                <w:top w:val="none" w:sz="0" w:space="0" w:color="auto"/>
                <w:left w:val="none" w:sz="0" w:space="0" w:color="auto"/>
                <w:bottom w:val="none" w:sz="0" w:space="0" w:color="auto"/>
                <w:right w:val="none" w:sz="0" w:space="0" w:color="auto"/>
              </w:divBdr>
            </w:div>
            <w:div w:id="19113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19339">
      <w:bodyDiv w:val="1"/>
      <w:marLeft w:val="0"/>
      <w:marRight w:val="0"/>
      <w:marTop w:val="0"/>
      <w:marBottom w:val="0"/>
      <w:divBdr>
        <w:top w:val="none" w:sz="0" w:space="0" w:color="auto"/>
        <w:left w:val="none" w:sz="0" w:space="0" w:color="auto"/>
        <w:bottom w:val="none" w:sz="0" w:space="0" w:color="auto"/>
        <w:right w:val="none" w:sz="0" w:space="0" w:color="auto"/>
      </w:divBdr>
    </w:div>
    <w:div w:id="1542740967">
      <w:bodyDiv w:val="1"/>
      <w:marLeft w:val="0"/>
      <w:marRight w:val="0"/>
      <w:marTop w:val="0"/>
      <w:marBottom w:val="0"/>
      <w:divBdr>
        <w:top w:val="none" w:sz="0" w:space="0" w:color="auto"/>
        <w:left w:val="none" w:sz="0" w:space="0" w:color="auto"/>
        <w:bottom w:val="none" w:sz="0" w:space="0" w:color="auto"/>
        <w:right w:val="none" w:sz="0" w:space="0" w:color="auto"/>
      </w:divBdr>
      <w:divsChild>
        <w:div w:id="543296755">
          <w:marLeft w:val="0"/>
          <w:marRight w:val="0"/>
          <w:marTop w:val="0"/>
          <w:marBottom w:val="0"/>
          <w:divBdr>
            <w:top w:val="none" w:sz="0" w:space="0" w:color="auto"/>
            <w:left w:val="none" w:sz="0" w:space="0" w:color="auto"/>
            <w:bottom w:val="none" w:sz="0" w:space="0" w:color="auto"/>
            <w:right w:val="none" w:sz="0" w:space="0" w:color="auto"/>
          </w:divBdr>
          <w:divsChild>
            <w:div w:id="949314317">
              <w:marLeft w:val="0"/>
              <w:marRight w:val="0"/>
              <w:marTop w:val="0"/>
              <w:marBottom w:val="0"/>
              <w:divBdr>
                <w:top w:val="none" w:sz="0" w:space="0" w:color="auto"/>
                <w:left w:val="none" w:sz="0" w:space="0" w:color="auto"/>
                <w:bottom w:val="none" w:sz="0" w:space="0" w:color="auto"/>
                <w:right w:val="none" w:sz="0" w:space="0" w:color="auto"/>
              </w:divBdr>
              <w:divsChild>
                <w:div w:id="6892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1145">
      <w:bodyDiv w:val="1"/>
      <w:marLeft w:val="0"/>
      <w:marRight w:val="0"/>
      <w:marTop w:val="0"/>
      <w:marBottom w:val="0"/>
      <w:divBdr>
        <w:top w:val="none" w:sz="0" w:space="0" w:color="auto"/>
        <w:left w:val="none" w:sz="0" w:space="0" w:color="auto"/>
        <w:bottom w:val="none" w:sz="0" w:space="0" w:color="auto"/>
        <w:right w:val="none" w:sz="0" w:space="0" w:color="auto"/>
      </w:divBdr>
    </w:div>
    <w:div w:id="1581793438">
      <w:bodyDiv w:val="1"/>
      <w:marLeft w:val="0"/>
      <w:marRight w:val="0"/>
      <w:marTop w:val="0"/>
      <w:marBottom w:val="0"/>
      <w:divBdr>
        <w:top w:val="none" w:sz="0" w:space="0" w:color="auto"/>
        <w:left w:val="none" w:sz="0" w:space="0" w:color="auto"/>
        <w:bottom w:val="none" w:sz="0" w:space="0" w:color="auto"/>
        <w:right w:val="none" w:sz="0" w:space="0" w:color="auto"/>
      </w:divBdr>
      <w:divsChild>
        <w:div w:id="1889343952">
          <w:marLeft w:val="480"/>
          <w:marRight w:val="0"/>
          <w:marTop w:val="0"/>
          <w:marBottom w:val="0"/>
          <w:divBdr>
            <w:top w:val="none" w:sz="0" w:space="0" w:color="auto"/>
            <w:left w:val="none" w:sz="0" w:space="0" w:color="auto"/>
            <w:bottom w:val="none" w:sz="0" w:space="0" w:color="auto"/>
            <w:right w:val="none" w:sz="0" w:space="0" w:color="auto"/>
          </w:divBdr>
          <w:divsChild>
            <w:div w:id="50541511">
              <w:marLeft w:val="0"/>
              <w:marRight w:val="0"/>
              <w:marTop w:val="0"/>
              <w:marBottom w:val="0"/>
              <w:divBdr>
                <w:top w:val="none" w:sz="0" w:space="0" w:color="auto"/>
                <w:left w:val="none" w:sz="0" w:space="0" w:color="auto"/>
                <w:bottom w:val="none" w:sz="0" w:space="0" w:color="auto"/>
                <w:right w:val="none" w:sz="0" w:space="0" w:color="auto"/>
              </w:divBdr>
            </w:div>
            <w:div w:id="1902519189">
              <w:marLeft w:val="0"/>
              <w:marRight w:val="0"/>
              <w:marTop w:val="0"/>
              <w:marBottom w:val="0"/>
              <w:divBdr>
                <w:top w:val="none" w:sz="0" w:space="0" w:color="auto"/>
                <w:left w:val="none" w:sz="0" w:space="0" w:color="auto"/>
                <w:bottom w:val="none" w:sz="0" w:space="0" w:color="auto"/>
                <w:right w:val="none" w:sz="0" w:space="0" w:color="auto"/>
              </w:divBdr>
            </w:div>
            <w:div w:id="532576088">
              <w:marLeft w:val="0"/>
              <w:marRight w:val="0"/>
              <w:marTop w:val="0"/>
              <w:marBottom w:val="0"/>
              <w:divBdr>
                <w:top w:val="none" w:sz="0" w:space="0" w:color="auto"/>
                <w:left w:val="none" w:sz="0" w:space="0" w:color="auto"/>
                <w:bottom w:val="none" w:sz="0" w:space="0" w:color="auto"/>
                <w:right w:val="none" w:sz="0" w:space="0" w:color="auto"/>
              </w:divBdr>
            </w:div>
            <w:div w:id="327026603">
              <w:marLeft w:val="0"/>
              <w:marRight w:val="0"/>
              <w:marTop w:val="0"/>
              <w:marBottom w:val="0"/>
              <w:divBdr>
                <w:top w:val="none" w:sz="0" w:space="0" w:color="auto"/>
                <w:left w:val="none" w:sz="0" w:space="0" w:color="auto"/>
                <w:bottom w:val="none" w:sz="0" w:space="0" w:color="auto"/>
                <w:right w:val="none" w:sz="0" w:space="0" w:color="auto"/>
              </w:divBdr>
            </w:div>
            <w:div w:id="882981173">
              <w:marLeft w:val="0"/>
              <w:marRight w:val="0"/>
              <w:marTop w:val="0"/>
              <w:marBottom w:val="0"/>
              <w:divBdr>
                <w:top w:val="none" w:sz="0" w:space="0" w:color="auto"/>
                <w:left w:val="none" w:sz="0" w:space="0" w:color="auto"/>
                <w:bottom w:val="none" w:sz="0" w:space="0" w:color="auto"/>
                <w:right w:val="none" w:sz="0" w:space="0" w:color="auto"/>
              </w:divBdr>
            </w:div>
            <w:div w:id="791899130">
              <w:marLeft w:val="0"/>
              <w:marRight w:val="0"/>
              <w:marTop w:val="0"/>
              <w:marBottom w:val="0"/>
              <w:divBdr>
                <w:top w:val="none" w:sz="0" w:space="0" w:color="auto"/>
                <w:left w:val="none" w:sz="0" w:space="0" w:color="auto"/>
                <w:bottom w:val="none" w:sz="0" w:space="0" w:color="auto"/>
                <w:right w:val="none" w:sz="0" w:space="0" w:color="auto"/>
              </w:divBdr>
            </w:div>
            <w:div w:id="282537181">
              <w:marLeft w:val="0"/>
              <w:marRight w:val="0"/>
              <w:marTop w:val="0"/>
              <w:marBottom w:val="0"/>
              <w:divBdr>
                <w:top w:val="none" w:sz="0" w:space="0" w:color="auto"/>
                <w:left w:val="none" w:sz="0" w:space="0" w:color="auto"/>
                <w:bottom w:val="none" w:sz="0" w:space="0" w:color="auto"/>
                <w:right w:val="none" w:sz="0" w:space="0" w:color="auto"/>
              </w:divBdr>
            </w:div>
            <w:div w:id="737825986">
              <w:marLeft w:val="0"/>
              <w:marRight w:val="0"/>
              <w:marTop w:val="0"/>
              <w:marBottom w:val="0"/>
              <w:divBdr>
                <w:top w:val="none" w:sz="0" w:space="0" w:color="auto"/>
                <w:left w:val="none" w:sz="0" w:space="0" w:color="auto"/>
                <w:bottom w:val="none" w:sz="0" w:space="0" w:color="auto"/>
                <w:right w:val="none" w:sz="0" w:space="0" w:color="auto"/>
              </w:divBdr>
            </w:div>
            <w:div w:id="900477973">
              <w:marLeft w:val="0"/>
              <w:marRight w:val="0"/>
              <w:marTop w:val="0"/>
              <w:marBottom w:val="0"/>
              <w:divBdr>
                <w:top w:val="none" w:sz="0" w:space="0" w:color="auto"/>
                <w:left w:val="none" w:sz="0" w:space="0" w:color="auto"/>
                <w:bottom w:val="none" w:sz="0" w:space="0" w:color="auto"/>
                <w:right w:val="none" w:sz="0" w:space="0" w:color="auto"/>
              </w:divBdr>
            </w:div>
            <w:div w:id="562183393">
              <w:marLeft w:val="0"/>
              <w:marRight w:val="0"/>
              <w:marTop w:val="0"/>
              <w:marBottom w:val="0"/>
              <w:divBdr>
                <w:top w:val="none" w:sz="0" w:space="0" w:color="auto"/>
                <w:left w:val="none" w:sz="0" w:space="0" w:color="auto"/>
                <w:bottom w:val="none" w:sz="0" w:space="0" w:color="auto"/>
                <w:right w:val="none" w:sz="0" w:space="0" w:color="auto"/>
              </w:divBdr>
            </w:div>
            <w:div w:id="757478380">
              <w:marLeft w:val="0"/>
              <w:marRight w:val="0"/>
              <w:marTop w:val="0"/>
              <w:marBottom w:val="0"/>
              <w:divBdr>
                <w:top w:val="none" w:sz="0" w:space="0" w:color="auto"/>
                <w:left w:val="none" w:sz="0" w:space="0" w:color="auto"/>
                <w:bottom w:val="none" w:sz="0" w:space="0" w:color="auto"/>
                <w:right w:val="none" w:sz="0" w:space="0" w:color="auto"/>
              </w:divBdr>
            </w:div>
            <w:div w:id="58359718">
              <w:marLeft w:val="0"/>
              <w:marRight w:val="0"/>
              <w:marTop w:val="0"/>
              <w:marBottom w:val="0"/>
              <w:divBdr>
                <w:top w:val="none" w:sz="0" w:space="0" w:color="auto"/>
                <w:left w:val="none" w:sz="0" w:space="0" w:color="auto"/>
                <w:bottom w:val="none" w:sz="0" w:space="0" w:color="auto"/>
                <w:right w:val="none" w:sz="0" w:space="0" w:color="auto"/>
              </w:divBdr>
            </w:div>
            <w:div w:id="1110855767">
              <w:marLeft w:val="0"/>
              <w:marRight w:val="0"/>
              <w:marTop w:val="0"/>
              <w:marBottom w:val="0"/>
              <w:divBdr>
                <w:top w:val="none" w:sz="0" w:space="0" w:color="auto"/>
                <w:left w:val="none" w:sz="0" w:space="0" w:color="auto"/>
                <w:bottom w:val="none" w:sz="0" w:space="0" w:color="auto"/>
                <w:right w:val="none" w:sz="0" w:space="0" w:color="auto"/>
              </w:divBdr>
            </w:div>
            <w:div w:id="1187065616">
              <w:marLeft w:val="0"/>
              <w:marRight w:val="0"/>
              <w:marTop w:val="0"/>
              <w:marBottom w:val="0"/>
              <w:divBdr>
                <w:top w:val="none" w:sz="0" w:space="0" w:color="auto"/>
                <w:left w:val="none" w:sz="0" w:space="0" w:color="auto"/>
                <w:bottom w:val="none" w:sz="0" w:space="0" w:color="auto"/>
                <w:right w:val="none" w:sz="0" w:space="0" w:color="auto"/>
              </w:divBdr>
            </w:div>
            <w:div w:id="73673787">
              <w:marLeft w:val="0"/>
              <w:marRight w:val="0"/>
              <w:marTop w:val="0"/>
              <w:marBottom w:val="0"/>
              <w:divBdr>
                <w:top w:val="none" w:sz="0" w:space="0" w:color="auto"/>
                <w:left w:val="none" w:sz="0" w:space="0" w:color="auto"/>
                <w:bottom w:val="none" w:sz="0" w:space="0" w:color="auto"/>
                <w:right w:val="none" w:sz="0" w:space="0" w:color="auto"/>
              </w:divBdr>
            </w:div>
            <w:div w:id="1645893101">
              <w:marLeft w:val="0"/>
              <w:marRight w:val="0"/>
              <w:marTop w:val="0"/>
              <w:marBottom w:val="0"/>
              <w:divBdr>
                <w:top w:val="none" w:sz="0" w:space="0" w:color="auto"/>
                <w:left w:val="none" w:sz="0" w:space="0" w:color="auto"/>
                <w:bottom w:val="none" w:sz="0" w:space="0" w:color="auto"/>
                <w:right w:val="none" w:sz="0" w:space="0" w:color="auto"/>
              </w:divBdr>
            </w:div>
            <w:div w:id="2130120671">
              <w:marLeft w:val="0"/>
              <w:marRight w:val="0"/>
              <w:marTop w:val="0"/>
              <w:marBottom w:val="0"/>
              <w:divBdr>
                <w:top w:val="none" w:sz="0" w:space="0" w:color="auto"/>
                <w:left w:val="none" w:sz="0" w:space="0" w:color="auto"/>
                <w:bottom w:val="none" w:sz="0" w:space="0" w:color="auto"/>
                <w:right w:val="none" w:sz="0" w:space="0" w:color="auto"/>
              </w:divBdr>
            </w:div>
            <w:div w:id="2047637334">
              <w:marLeft w:val="0"/>
              <w:marRight w:val="0"/>
              <w:marTop w:val="0"/>
              <w:marBottom w:val="0"/>
              <w:divBdr>
                <w:top w:val="none" w:sz="0" w:space="0" w:color="auto"/>
                <w:left w:val="none" w:sz="0" w:space="0" w:color="auto"/>
                <w:bottom w:val="none" w:sz="0" w:space="0" w:color="auto"/>
                <w:right w:val="none" w:sz="0" w:space="0" w:color="auto"/>
              </w:divBdr>
            </w:div>
            <w:div w:id="1524829170">
              <w:marLeft w:val="0"/>
              <w:marRight w:val="0"/>
              <w:marTop w:val="0"/>
              <w:marBottom w:val="0"/>
              <w:divBdr>
                <w:top w:val="none" w:sz="0" w:space="0" w:color="auto"/>
                <w:left w:val="none" w:sz="0" w:space="0" w:color="auto"/>
                <w:bottom w:val="none" w:sz="0" w:space="0" w:color="auto"/>
                <w:right w:val="none" w:sz="0" w:space="0" w:color="auto"/>
              </w:divBdr>
            </w:div>
            <w:div w:id="1527910055">
              <w:marLeft w:val="0"/>
              <w:marRight w:val="0"/>
              <w:marTop w:val="0"/>
              <w:marBottom w:val="0"/>
              <w:divBdr>
                <w:top w:val="none" w:sz="0" w:space="0" w:color="auto"/>
                <w:left w:val="none" w:sz="0" w:space="0" w:color="auto"/>
                <w:bottom w:val="none" w:sz="0" w:space="0" w:color="auto"/>
                <w:right w:val="none" w:sz="0" w:space="0" w:color="auto"/>
              </w:divBdr>
            </w:div>
            <w:div w:id="901332819">
              <w:marLeft w:val="0"/>
              <w:marRight w:val="0"/>
              <w:marTop w:val="0"/>
              <w:marBottom w:val="0"/>
              <w:divBdr>
                <w:top w:val="none" w:sz="0" w:space="0" w:color="auto"/>
                <w:left w:val="none" w:sz="0" w:space="0" w:color="auto"/>
                <w:bottom w:val="none" w:sz="0" w:space="0" w:color="auto"/>
                <w:right w:val="none" w:sz="0" w:space="0" w:color="auto"/>
              </w:divBdr>
            </w:div>
            <w:div w:id="1899590975">
              <w:marLeft w:val="0"/>
              <w:marRight w:val="0"/>
              <w:marTop w:val="0"/>
              <w:marBottom w:val="0"/>
              <w:divBdr>
                <w:top w:val="none" w:sz="0" w:space="0" w:color="auto"/>
                <w:left w:val="none" w:sz="0" w:space="0" w:color="auto"/>
                <w:bottom w:val="none" w:sz="0" w:space="0" w:color="auto"/>
                <w:right w:val="none" w:sz="0" w:space="0" w:color="auto"/>
              </w:divBdr>
            </w:div>
            <w:div w:id="572353057">
              <w:marLeft w:val="0"/>
              <w:marRight w:val="0"/>
              <w:marTop w:val="0"/>
              <w:marBottom w:val="0"/>
              <w:divBdr>
                <w:top w:val="none" w:sz="0" w:space="0" w:color="auto"/>
                <w:left w:val="none" w:sz="0" w:space="0" w:color="auto"/>
                <w:bottom w:val="none" w:sz="0" w:space="0" w:color="auto"/>
                <w:right w:val="none" w:sz="0" w:space="0" w:color="auto"/>
              </w:divBdr>
            </w:div>
            <w:div w:id="547231593">
              <w:marLeft w:val="0"/>
              <w:marRight w:val="0"/>
              <w:marTop w:val="0"/>
              <w:marBottom w:val="0"/>
              <w:divBdr>
                <w:top w:val="none" w:sz="0" w:space="0" w:color="auto"/>
                <w:left w:val="none" w:sz="0" w:space="0" w:color="auto"/>
                <w:bottom w:val="none" w:sz="0" w:space="0" w:color="auto"/>
                <w:right w:val="none" w:sz="0" w:space="0" w:color="auto"/>
              </w:divBdr>
            </w:div>
            <w:div w:id="453523793">
              <w:marLeft w:val="0"/>
              <w:marRight w:val="0"/>
              <w:marTop w:val="0"/>
              <w:marBottom w:val="0"/>
              <w:divBdr>
                <w:top w:val="none" w:sz="0" w:space="0" w:color="auto"/>
                <w:left w:val="none" w:sz="0" w:space="0" w:color="auto"/>
                <w:bottom w:val="none" w:sz="0" w:space="0" w:color="auto"/>
                <w:right w:val="none" w:sz="0" w:space="0" w:color="auto"/>
              </w:divBdr>
            </w:div>
            <w:div w:id="20107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45711">
      <w:bodyDiv w:val="1"/>
      <w:marLeft w:val="0"/>
      <w:marRight w:val="0"/>
      <w:marTop w:val="0"/>
      <w:marBottom w:val="0"/>
      <w:divBdr>
        <w:top w:val="none" w:sz="0" w:space="0" w:color="auto"/>
        <w:left w:val="none" w:sz="0" w:space="0" w:color="auto"/>
        <w:bottom w:val="none" w:sz="0" w:space="0" w:color="auto"/>
        <w:right w:val="none" w:sz="0" w:space="0" w:color="auto"/>
      </w:divBdr>
    </w:div>
    <w:div w:id="1696925257">
      <w:bodyDiv w:val="1"/>
      <w:marLeft w:val="0"/>
      <w:marRight w:val="0"/>
      <w:marTop w:val="0"/>
      <w:marBottom w:val="0"/>
      <w:divBdr>
        <w:top w:val="none" w:sz="0" w:space="0" w:color="auto"/>
        <w:left w:val="none" w:sz="0" w:space="0" w:color="auto"/>
        <w:bottom w:val="none" w:sz="0" w:space="0" w:color="auto"/>
        <w:right w:val="none" w:sz="0" w:space="0" w:color="auto"/>
      </w:divBdr>
    </w:div>
    <w:div w:id="1782993894">
      <w:bodyDiv w:val="1"/>
      <w:marLeft w:val="0"/>
      <w:marRight w:val="0"/>
      <w:marTop w:val="0"/>
      <w:marBottom w:val="0"/>
      <w:divBdr>
        <w:top w:val="none" w:sz="0" w:space="0" w:color="auto"/>
        <w:left w:val="none" w:sz="0" w:space="0" w:color="auto"/>
        <w:bottom w:val="none" w:sz="0" w:space="0" w:color="auto"/>
        <w:right w:val="none" w:sz="0" w:space="0" w:color="auto"/>
      </w:divBdr>
    </w:div>
    <w:div w:id="1789815964">
      <w:bodyDiv w:val="1"/>
      <w:marLeft w:val="0"/>
      <w:marRight w:val="0"/>
      <w:marTop w:val="0"/>
      <w:marBottom w:val="0"/>
      <w:divBdr>
        <w:top w:val="none" w:sz="0" w:space="0" w:color="auto"/>
        <w:left w:val="none" w:sz="0" w:space="0" w:color="auto"/>
        <w:bottom w:val="none" w:sz="0" w:space="0" w:color="auto"/>
        <w:right w:val="none" w:sz="0" w:space="0" w:color="auto"/>
      </w:divBdr>
    </w:div>
    <w:div w:id="1801454901">
      <w:bodyDiv w:val="1"/>
      <w:marLeft w:val="0"/>
      <w:marRight w:val="0"/>
      <w:marTop w:val="0"/>
      <w:marBottom w:val="0"/>
      <w:divBdr>
        <w:top w:val="none" w:sz="0" w:space="0" w:color="auto"/>
        <w:left w:val="none" w:sz="0" w:space="0" w:color="auto"/>
        <w:bottom w:val="none" w:sz="0" w:space="0" w:color="auto"/>
        <w:right w:val="none" w:sz="0" w:space="0" w:color="auto"/>
      </w:divBdr>
    </w:div>
    <w:div w:id="1876043304">
      <w:bodyDiv w:val="1"/>
      <w:marLeft w:val="0"/>
      <w:marRight w:val="0"/>
      <w:marTop w:val="0"/>
      <w:marBottom w:val="0"/>
      <w:divBdr>
        <w:top w:val="none" w:sz="0" w:space="0" w:color="auto"/>
        <w:left w:val="none" w:sz="0" w:space="0" w:color="auto"/>
        <w:bottom w:val="none" w:sz="0" w:space="0" w:color="auto"/>
        <w:right w:val="none" w:sz="0" w:space="0" w:color="auto"/>
      </w:divBdr>
    </w:div>
    <w:div w:id="1973633326">
      <w:bodyDiv w:val="1"/>
      <w:marLeft w:val="0"/>
      <w:marRight w:val="0"/>
      <w:marTop w:val="0"/>
      <w:marBottom w:val="0"/>
      <w:divBdr>
        <w:top w:val="none" w:sz="0" w:space="0" w:color="auto"/>
        <w:left w:val="none" w:sz="0" w:space="0" w:color="auto"/>
        <w:bottom w:val="none" w:sz="0" w:space="0" w:color="auto"/>
        <w:right w:val="none" w:sz="0" w:space="0" w:color="auto"/>
      </w:divBdr>
      <w:divsChild>
        <w:div w:id="1265308620">
          <w:marLeft w:val="480"/>
          <w:marRight w:val="0"/>
          <w:marTop w:val="0"/>
          <w:marBottom w:val="0"/>
          <w:divBdr>
            <w:top w:val="none" w:sz="0" w:space="0" w:color="auto"/>
            <w:left w:val="none" w:sz="0" w:space="0" w:color="auto"/>
            <w:bottom w:val="none" w:sz="0" w:space="0" w:color="auto"/>
            <w:right w:val="none" w:sz="0" w:space="0" w:color="auto"/>
          </w:divBdr>
          <w:divsChild>
            <w:div w:id="1325016520">
              <w:marLeft w:val="0"/>
              <w:marRight w:val="0"/>
              <w:marTop w:val="0"/>
              <w:marBottom w:val="0"/>
              <w:divBdr>
                <w:top w:val="none" w:sz="0" w:space="0" w:color="auto"/>
                <w:left w:val="none" w:sz="0" w:space="0" w:color="auto"/>
                <w:bottom w:val="none" w:sz="0" w:space="0" w:color="auto"/>
                <w:right w:val="none" w:sz="0" w:space="0" w:color="auto"/>
              </w:divBdr>
            </w:div>
            <w:div w:id="154615560">
              <w:marLeft w:val="0"/>
              <w:marRight w:val="0"/>
              <w:marTop w:val="0"/>
              <w:marBottom w:val="0"/>
              <w:divBdr>
                <w:top w:val="none" w:sz="0" w:space="0" w:color="auto"/>
                <w:left w:val="none" w:sz="0" w:space="0" w:color="auto"/>
                <w:bottom w:val="none" w:sz="0" w:space="0" w:color="auto"/>
                <w:right w:val="none" w:sz="0" w:space="0" w:color="auto"/>
              </w:divBdr>
            </w:div>
            <w:div w:id="631248401">
              <w:marLeft w:val="0"/>
              <w:marRight w:val="0"/>
              <w:marTop w:val="0"/>
              <w:marBottom w:val="0"/>
              <w:divBdr>
                <w:top w:val="none" w:sz="0" w:space="0" w:color="auto"/>
                <w:left w:val="none" w:sz="0" w:space="0" w:color="auto"/>
                <w:bottom w:val="none" w:sz="0" w:space="0" w:color="auto"/>
                <w:right w:val="none" w:sz="0" w:space="0" w:color="auto"/>
              </w:divBdr>
            </w:div>
            <w:div w:id="711618733">
              <w:marLeft w:val="0"/>
              <w:marRight w:val="0"/>
              <w:marTop w:val="0"/>
              <w:marBottom w:val="0"/>
              <w:divBdr>
                <w:top w:val="none" w:sz="0" w:space="0" w:color="auto"/>
                <w:left w:val="none" w:sz="0" w:space="0" w:color="auto"/>
                <w:bottom w:val="none" w:sz="0" w:space="0" w:color="auto"/>
                <w:right w:val="none" w:sz="0" w:space="0" w:color="auto"/>
              </w:divBdr>
            </w:div>
            <w:div w:id="1038354661">
              <w:marLeft w:val="0"/>
              <w:marRight w:val="0"/>
              <w:marTop w:val="0"/>
              <w:marBottom w:val="0"/>
              <w:divBdr>
                <w:top w:val="none" w:sz="0" w:space="0" w:color="auto"/>
                <w:left w:val="none" w:sz="0" w:space="0" w:color="auto"/>
                <w:bottom w:val="none" w:sz="0" w:space="0" w:color="auto"/>
                <w:right w:val="none" w:sz="0" w:space="0" w:color="auto"/>
              </w:divBdr>
            </w:div>
            <w:div w:id="1021514550">
              <w:marLeft w:val="0"/>
              <w:marRight w:val="0"/>
              <w:marTop w:val="0"/>
              <w:marBottom w:val="0"/>
              <w:divBdr>
                <w:top w:val="none" w:sz="0" w:space="0" w:color="auto"/>
                <w:left w:val="none" w:sz="0" w:space="0" w:color="auto"/>
                <w:bottom w:val="none" w:sz="0" w:space="0" w:color="auto"/>
                <w:right w:val="none" w:sz="0" w:space="0" w:color="auto"/>
              </w:divBdr>
            </w:div>
            <w:div w:id="223375842">
              <w:marLeft w:val="0"/>
              <w:marRight w:val="0"/>
              <w:marTop w:val="0"/>
              <w:marBottom w:val="0"/>
              <w:divBdr>
                <w:top w:val="none" w:sz="0" w:space="0" w:color="auto"/>
                <w:left w:val="none" w:sz="0" w:space="0" w:color="auto"/>
                <w:bottom w:val="none" w:sz="0" w:space="0" w:color="auto"/>
                <w:right w:val="none" w:sz="0" w:space="0" w:color="auto"/>
              </w:divBdr>
            </w:div>
            <w:div w:id="319891311">
              <w:marLeft w:val="0"/>
              <w:marRight w:val="0"/>
              <w:marTop w:val="0"/>
              <w:marBottom w:val="0"/>
              <w:divBdr>
                <w:top w:val="none" w:sz="0" w:space="0" w:color="auto"/>
                <w:left w:val="none" w:sz="0" w:space="0" w:color="auto"/>
                <w:bottom w:val="none" w:sz="0" w:space="0" w:color="auto"/>
                <w:right w:val="none" w:sz="0" w:space="0" w:color="auto"/>
              </w:divBdr>
            </w:div>
            <w:div w:id="1727799174">
              <w:marLeft w:val="0"/>
              <w:marRight w:val="0"/>
              <w:marTop w:val="0"/>
              <w:marBottom w:val="0"/>
              <w:divBdr>
                <w:top w:val="none" w:sz="0" w:space="0" w:color="auto"/>
                <w:left w:val="none" w:sz="0" w:space="0" w:color="auto"/>
                <w:bottom w:val="none" w:sz="0" w:space="0" w:color="auto"/>
                <w:right w:val="none" w:sz="0" w:space="0" w:color="auto"/>
              </w:divBdr>
            </w:div>
            <w:div w:id="1861118669">
              <w:marLeft w:val="0"/>
              <w:marRight w:val="0"/>
              <w:marTop w:val="0"/>
              <w:marBottom w:val="0"/>
              <w:divBdr>
                <w:top w:val="none" w:sz="0" w:space="0" w:color="auto"/>
                <w:left w:val="none" w:sz="0" w:space="0" w:color="auto"/>
                <w:bottom w:val="none" w:sz="0" w:space="0" w:color="auto"/>
                <w:right w:val="none" w:sz="0" w:space="0" w:color="auto"/>
              </w:divBdr>
            </w:div>
            <w:div w:id="1919825721">
              <w:marLeft w:val="0"/>
              <w:marRight w:val="0"/>
              <w:marTop w:val="0"/>
              <w:marBottom w:val="0"/>
              <w:divBdr>
                <w:top w:val="none" w:sz="0" w:space="0" w:color="auto"/>
                <w:left w:val="none" w:sz="0" w:space="0" w:color="auto"/>
                <w:bottom w:val="none" w:sz="0" w:space="0" w:color="auto"/>
                <w:right w:val="none" w:sz="0" w:space="0" w:color="auto"/>
              </w:divBdr>
            </w:div>
            <w:div w:id="748308099">
              <w:marLeft w:val="0"/>
              <w:marRight w:val="0"/>
              <w:marTop w:val="0"/>
              <w:marBottom w:val="0"/>
              <w:divBdr>
                <w:top w:val="none" w:sz="0" w:space="0" w:color="auto"/>
                <w:left w:val="none" w:sz="0" w:space="0" w:color="auto"/>
                <w:bottom w:val="none" w:sz="0" w:space="0" w:color="auto"/>
                <w:right w:val="none" w:sz="0" w:space="0" w:color="auto"/>
              </w:divBdr>
            </w:div>
            <w:div w:id="494759812">
              <w:marLeft w:val="0"/>
              <w:marRight w:val="0"/>
              <w:marTop w:val="0"/>
              <w:marBottom w:val="0"/>
              <w:divBdr>
                <w:top w:val="none" w:sz="0" w:space="0" w:color="auto"/>
                <w:left w:val="none" w:sz="0" w:space="0" w:color="auto"/>
                <w:bottom w:val="none" w:sz="0" w:space="0" w:color="auto"/>
                <w:right w:val="none" w:sz="0" w:space="0" w:color="auto"/>
              </w:divBdr>
            </w:div>
            <w:div w:id="1270770877">
              <w:marLeft w:val="0"/>
              <w:marRight w:val="0"/>
              <w:marTop w:val="0"/>
              <w:marBottom w:val="0"/>
              <w:divBdr>
                <w:top w:val="none" w:sz="0" w:space="0" w:color="auto"/>
                <w:left w:val="none" w:sz="0" w:space="0" w:color="auto"/>
                <w:bottom w:val="none" w:sz="0" w:space="0" w:color="auto"/>
                <w:right w:val="none" w:sz="0" w:space="0" w:color="auto"/>
              </w:divBdr>
            </w:div>
            <w:div w:id="889341966">
              <w:marLeft w:val="0"/>
              <w:marRight w:val="0"/>
              <w:marTop w:val="0"/>
              <w:marBottom w:val="0"/>
              <w:divBdr>
                <w:top w:val="none" w:sz="0" w:space="0" w:color="auto"/>
                <w:left w:val="none" w:sz="0" w:space="0" w:color="auto"/>
                <w:bottom w:val="none" w:sz="0" w:space="0" w:color="auto"/>
                <w:right w:val="none" w:sz="0" w:space="0" w:color="auto"/>
              </w:divBdr>
            </w:div>
            <w:div w:id="1386680804">
              <w:marLeft w:val="0"/>
              <w:marRight w:val="0"/>
              <w:marTop w:val="0"/>
              <w:marBottom w:val="0"/>
              <w:divBdr>
                <w:top w:val="none" w:sz="0" w:space="0" w:color="auto"/>
                <w:left w:val="none" w:sz="0" w:space="0" w:color="auto"/>
                <w:bottom w:val="none" w:sz="0" w:space="0" w:color="auto"/>
                <w:right w:val="none" w:sz="0" w:space="0" w:color="auto"/>
              </w:divBdr>
            </w:div>
            <w:div w:id="1436365609">
              <w:marLeft w:val="0"/>
              <w:marRight w:val="0"/>
              <w:marTop w:val="0"/>
              <w:marBottom w:val="0"/>
              <w:divBdr>
                <w:top w:val="none" w:sz="0" w:space="0" w:color="auto"/>
                <w:left w:val="none" w:sz="0" w:space="0" w:color="auto"/>
                <w:bottom w:val="none" w:sz="0" w:space="0" w:color="auto"/>
                <w:right w:val="none" w:sz="0" w:space="0" w:color="auto"/>
              </w:divBdr>
            </w:div>
            <w:div w:id="1178545298">
              <w:marLeft w:val="0"/>
              <w:marRight w:val="0"/>
              <w:marTop w:val="0"/>
              <w:marBottom w:val="0"/>
              <w:divBdr>
                <w:top w:val="none" w:sz="0" w:space="0" w:color="auto"/>
                <w:left w:val="none" w:sz="0" w:space="0" w:color="auto"/>
                <w:bottom w:val="none" w:sz="0" w:space="0" w:color="auto"/>
                <w:right w:val="none" w:sz="0" w:space="0" w:color="auto"/>
              </w:divBdr>
            </w:div>
            <w:div w:id="1636987795">
              <w:marLeft w:val="0"/>
              <w:marRight w:val="0"/>
              <w:marTop w:val="0"/>
              <w:marBottom w:val="0"/>
              <w:divBdr>
                <w:top w:val="none" w:sz="0" w:space="0" w:color="auto"/>
                <w:left w:val="none" w:sz="0" w:space="0" w:color="auto"/>
                <w:bottom w:val="none" w:sz="0" w:space="0" w:color="auto"/>
                <w:right w:val="none" w:sz="0" w:space="0" w:color="auto"/>
              </w:divBdr>
            </w:div>
            <w:div w:id="1910460844">
              <w:marLeft w:val="0"/>
              <w:marRight w:val="0"/>
              <w:marTop w:val="0"/>
              <w:marBottom w:val="0"/>
              <w:divBdr>
                <w:top w:val="none" w:sz="0" w:space="0" w:color="auto"/>
                <w:left w:val="none" w:sz="0" w:space="0" w:color="auto"/>
                <w:bottom w:val="none" w:sz="0" w:space="0" w:color="auto"/>
                <w:right w:val="none" w:sz="0" w:space="0" w:color="auto"/>
              </w:divBdr>
            </w:div>
            <w:div w:id="1254317414">
              <w:marLeft w:val="0"/>
              <w:marRight w:val="0"/>
              <w:marTop w:val="0"/>
              <w:marBottom w:val="0"/>
              <w:divBdr>
                <w:top w:val="none" w:sz="0" w:space="0" w:color="auto"/>
                <w:left w:val="none" w:sz="0" w:space="0" w:color="auto"/>
                <w:bottom w:val="none" w:sz="0" w:space="0" w:color="auto"/>
                <w:right w:val="none" w:sz="0" w:space="0" w:color="auto"/>
              </w:divBdr>
            </w:div>
            <w:div w:id="851190268">
              <w:marLeft w:val="0"/>
              <w:marRight w:val="0"/>
              <w:marTop w:val="0"/>
              <w:marBottom w:val="0"/>
              <w:divBdr>
                <w:top w:val="none" w:sz="0" w:space="0" w:color="auto"/>
                <w:left w:val="none" w:sz="0" w:space="0" w:color="auto"/>
                <w:bottom w:val="none" w:sz="0" w:space="0" w:color="auto"/>
                <w:right w:val="none" w:sz="0" w:space="0" w:color="auto"/>
              </w:divBdr>
            </w:div>
            <w:div w:id="1546604354">
              <w:marLeft w:val="0"/>
              <w:marRight w:val="0"/>
              <w:marTop w:val="0"/>
              <w:marBottom w:val="0"/>
              <w:divBdr>
                <w:top w:val="none" w:sz="0" w:space="0" w:color="auto"/>
                <w:left w:val="none" w:sz="0" w:space="0" w:color="auto"/>
                <w:bottom w:val="none" w:sz="0" w:space="0" w:color="auto"/>
                <w:right w:val="none" w:sz="0" w:space="0" w:color="auto"/>
              </w:divBdr>
            </w:div>
            <w:div w:id="1137336855">
              <w:marLeft w:val="0"/>
              <w:marRight w:val="0"/>
              <w:marTop w:val="0"/>
              <w:marBottom w:val="0"/>
              <w:divBdr>
                <w:top w:val="none" w:sz="0" w:space="0" w:color="auto"/>
                <w:left w:val="none" w:sz="0" w:space="0" w:color="auto"/>
                <w:bottom w:val="none" w:sz="0" w:space="0" w:color="auto"/>
                <w:right w:val="none" w:sz="0" w:space="0" w:color="auto"/>
              </w:divBdr>
            </w:div>
            <w:div w:id="560097738">
              <w:marLeft w:val="0"/>
              <w:marRight w:val="0"/>
              <w:marTop w:val="0"/>
              <w:marBottom w:val="0"/>
              <w:divBdr>
                <w:top w:val="none" w:sz="0" w:space="0" w:color="auto"/>
                <w:left w:val="none" w:sz="0" w:space="0" w:color="auto"/>
                <w:bottom w:val="none" w:sz="0" w:space="0" w:color="auto"/>
                <w:right w:val="none" w:sz="0" w:space="0" w:color="auto"/>
              </w:divBdr>
            </w:div>
            <w:div w:id="4526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9215">
      <w:bodyDiv w:val="1"/>
      <w:marLeft w:val="0"/>
      <w:marRight w:val="0"/>
      <w:marTop w:val="0"/>
      <w:marBottom w:val="0"/>
      <w:divBdr>
        <w:top w:val="none" w:sz="0" w:space="0" w:color="auto"/>
        <w:left w:val="none" w:sz="0" w:space="0" w:color="auto"/>
        <w:bottom w:val="none" w:sz="0" w:space="0" w:color="auto"/>
        <w:right w:val="none" w:sz="0" w:space="0" w:color="auto"/>
      </w:divBdr>
    </w:div>
    <w:div w:id="2102138480">
      <w:bodyDiv w:val="1"/>
      <w:marLeft w:val="0"/>
      <w:marRight w:val="0"/>
      <w:marTop w:val="0"/>
      <w:marBottom w:val="0"/>
      <w:divBdr>
        <w:top w:val="none" w:sz="0" w:space="0" w:color="auto"/>
        <w:left w:val="none" w:sz="0" w:space="0" w:color="auto"/>
        <w:bottom w:val="none" w:sz="0" w:space="0" w:color="auto"/>
        <w:right w:val="none" w:sz="0" w:space="0" w:color="auto"/>
      </w:divBdr>
      <w:divsChild>
        <w:div w:id="1756631054">
          <w:marLeft w:val="480"/>
          <w:marRight w:val="0"/>
          <w:marTop w:val="0"/>
          <w:marBottom w:val="0"/>
          <w:divBdr>
            <w:top w:val="none" w:sz="0" w:space="0" w:color="auto"/>
            <w:left w:val="none" w:sz="0" w:space="0" w:color="auto"/>
            <w:bottom w:val="none" w:sz="0" w:space="0" w:color="auto"/>
            <w:right w:val="none" w:sz="0" w:space="0" w:color="auto"/>
          </w:divBdr>
          <w:divsChild>
            <w:div w:id="329217175">
              <w:marLeft w:val="0"/>
              <w:marRight w:val="0"/>
              <w:marTop w:val="0"/>
              <w:marBottom w:val="0"/>
              <w:divBdr>
                <w:top w:val="none" w:sz="0" w:space="0" w:color="auto"/>
                <w:left w:val="none" w:sz="0" w:space="0" w:color="auto"/>
                <w:bottom w:val="none" w:sz="0" w:space="0" w:color="auto"/>
                <w:right w:val="none" w:sz="0" w:space="0" w:color="auto"/>
              </w:divBdr>
            </w:div>
            <w:div w:id="1733964817">
              <w:marLeft w:val="0"/>
              <w:marRight w:val="0"/>
              <w:marTop w:val="0"/>
              <w:marBottom w:val="0"/>
              <w:divBdr>
                <w:top w:val="none" w:sz="0" w:space="0" w:color="auto"/>
                <w:left w:val="none" w:sz="0" w:space="0" w:color="auto"/>
                <w:bottom w:val="none" w:sz="0" w:space="0" w:color="auto"/>
                <w:right w:val="none" w:sz="0" w:space="0" w:color="auto"/>
              </w:divBdr>
            </w:div>
            <w:div w:id="122189042">
              <w:marLeft w:val="0"/>
              <w:marRight w:val="0"/>
              <w:marTop w:val="0"/>
              <w:marBottom w:val="0"/>
              <w:divBdr>
                <w:top w:val="none" w:sz="0" w:space="0" w:color="auto"/>
                <w:left w:val="none" w:sz="0" w:space="0" w:color="auto"/>
                <w:bottom w:val="none" w:sz="0" w:space="0" w:color="auto"/>
                <w:right w:val="none" w:sz="0" w:space="0" w:color="auto"/>
              </w:divBdr>
            </w:div>
            <w:div w:id="69040137">
              <w:marLeft w:val="0"/>
              <w:marRight w:val="0"/>
              <w:marTop w:val="0"/>
              <w:marBottom w:val="0"/>
              <w:divBdr>
                <w:top w:val="none" w:sz="0" w:space="0" w:color="auto"/>
                <w:left w:val="none" w:sz="0" w:space="0" w:color="auto"/>
                <w:bottom w:val="none" w:sz="0" w:space="0" w:color="auto"/>
                <w:right w:val="none" w:sz="0" w:space="0" w:color="auto"/>
              </w:divBdr>
            </w:div>
            <w:div w:id="564336632">
              <w:marLeft w:val="0"/>
              <w:marRight w:val="0"/>
              <w:marTop w:val="0"/>
              <w:marBottom w:val="0"/>
              <w:divBdr>
                <w:top w:val="none" w:sz="0" w:space="0" w:color="auto"/>
                <w:left w:val="none" w:sz="0" w:space="0" w:color="auto"/>
                <w:bottom w:val="none" w:sz="0" w:space="0" w:color="auto"/>
                <w:right w:val="none" w:sz="0" w:space="0" w:color="auto"/>
              </w:divBdr>
            </w:div>
            <w:div w:id="307978680">
              <w:marLeft w:val="0"/>
              <w:marRight w:val="0"/>
              <w:marTop w:val="0"/>
              <w:marBottom w:val="0"/>
              <w:divBdr>
                <w:top w:val="none" w:sz="0" w:space="0" w:color="auto"/>
                <w:left w:val="none" w:sz="0" w:space="0" w:color="auto"/>
                <w:bottom w:val="none" w:sz="0" w:space="0" w:color="auto"/>
                <w:right w:val="none" w:sz="0" w:space="0" w:color="auto"/>
              </w:divBdr>
            </w:div>
            <w:div w:id="2017999855">
              <w:marLeft w:val="0"/>
              <w:marRight w:val="0"/>
              <w:marTop w:val="0"/>
              <w:marBottom w:val="0"/>
              <w:divBdr>
                <w:top w:val="none" w:sz="0" w:space="0" w:color="auto"/>
                <w:left w:val="none" w:sz="0" w:space="0" w:color="auto"/>
                <w:bottom w:val="none" w:sz="0" w:space="0" w:color="auto"/>
                <w:right w:val="none" w:sz="0" w:space="0" w:color="auto"/>
              </w:divBdr>
            </w:div>
            <w:div w:id="1318534494">
              <w:marLeft w:val="0"/>
              <w:marRight w:val="0"/>
              <w:marTop w:val="0"/>
              <w:marBottom w:val="0"/>
              <w:divBdr>
                <w:top w:val="none" w:sz="0" w:space="0" w:color="auto"/>
                <w:left w:val="none" w:sz="0" w:space="0" w:color="auto"/>
                <w:bottom w:val="none" w:sz="0" w:space="0" w:color="auto"/>
                <w:right w:val="none" w:sz="0" w:space="0" w:color="auto"/>
              </w:divBdr>
            </w:div>
            <w:div w:id="1778870025">
              <w:marLeft w:val="0"/>
              <w:marRight w:val="0"/>
              <w:marTop w:val="0"/>
              <w:marBottom w:val="0"/>
              <w:divBdr>
                <w:top w:val="none" w:sz="0" w:space="0" w:color="auto"/>
                <w:left w:val="none" w:sz="0" w:space="0" w:color="auto"/>
                <w:bottom w:val="none" w:sz="0" w:space="0" w:color="auto"/>
                <w:right w:val="none" w:sz="0" w:space="0" w:color="auto"/>
              </w:divBdr>
            </w:div>
            <w:div w:id="1834375070">
              <w:marLeft w:val="0"/>
              <w:marRight w:val="0"/>
              <w:marTop w:val="0"/>
              <w:marBottom w:val="0"/>
              <w:divBdr>
                <w:top w:val="none" w:sz="0" w:space="0" w:color="auto"/>
                <w:left w:val="none" w:sz="0" w:space="0" w:color="auto"/>
                <w:bottom w:val="none" w:sz="0" w:space="0" w:color="auto"/>
                <w:right w:val="none" w:sz="0" w:space="0" w:color="auto"/>
              </w:divBdr>
            </w:div>
            <w:div w:id="1570386672">
              <w:marLeft w:val="0"/>
              <w:marRight w:val="0"/>
              <w:marTop w:val="0"/>
              <w:marBottom w:val="0"/>
              <w:divBdr>
                <w:top w:val="none" w:sz="0" w:space="0" w:color="auto"/>
                <w:left w:val="none" w:sz="0" w:space="0" w:color="auto"/>
                <w:bottom w:val="none" w:sz="0" w:space="0" w:color="auto"/>
                <w:right w:val="none" w:sz="0" w:space="0" w:color="auto"/>
              </w:divBdr>
            </w:div>
            <w:div w:id="1188250433">
              <w:marLeft w:val="0"/>
              <w:marRight w:val="0"/>
              <w:marTop w:val="0"/>
              <w:marBottom w:val="0"/>
              <w:divBdr>
                <w:top w:val="none" w:sz="0" w:space="0" w:color="auto"/>
                <w:left w:val="none" w:sz="0" w:space="0" w:color="auto"/>
                <w:bottom w:val="none" w:sz="0" w:space="0" w:color="auto"/>
                <w:right w:val="none" w:sz="0" w:space="0" w:color="auto"/>
              </w:divBdr>
            </w:div>
            <w:div w:id="912930794">
              <w:marLeft w:val="0"/>
              <w:marRight w:val="0"/>
              <w:marTop w:val="0"/>
              <w:marBottom w:val="0"/>
              <w:divBdr>
                <w:top w:val="none" w:sz="0" w:space="0" w:color="auto"/>
                <w:left w:val="none" w:sz="0" w:space="0" w:color="auto"/>
                <w:bottom w:val="none" w:sz="0" w:space="0" w:color="auto"/>
                <w:right w:val="none" w:sz="0" w:space="0" w:color="auto"/>
              </w:divBdr>
            </w:div>
            <w:div w:id="537664675">
              <w:marLeft w:val="0"/>
              <w:marRight w:val="0"/>
              <w:marTop w:val="0"/>
              <w:marBottom w:val="0"/>
              <w:divBdr>
                <w:top w:val="none" w:sz="0" w:space="0" w:color="auto"/>
                <w:left w:val="none" w:sz="0" w:space="0" w:color="auto"/>
                <w:bottom w:val="none" w:sz="0" w:space="0" w:color="auto"/>
                <w:right w:val="none" w:sz="0" w:space="0" w:color="auto"/>
              </w:divBdr>
            </w:div>
            <w:div w:id="599798168">
              <w:marLeft w:val="0"/>
              <w:marRight w:val="0"/>
              <w:marTop w:val="0"/>
              <w:marBottom w:val="0"/>
              <w:divBdr>
                <w:top w:val="none" w:sz="0" w:space="0" w:color="auto"/>
                <w:left w:val="none" w:sz="0" w:space="0" w:color="auto"/>
                <w:bottom w:val="none" w:sz="0" w:space="0" w:color="auto"/>
                <w:right w:val="none" w:sz="0" w:space="0" w:color="auto"/>
              </w:divBdr>
            </w:div>
            <w:div w:id="445931052">
              <w:marLeft w:val="0"/>
              <w:marRight w:val="0"/>
              <w:marTop w:val="0"/>
              <w:marBottom w:val="0"/>
              <w:divBdr>
                <w:top w:val="none" w:sz="0" w:space="0" w:color="auto"/>
                <w:left w:val="none" w:sz="0" w:space="0" w:color="auto"/>
                <w:bottom w:val="none" w:sz="0" w:space="0" w:color="auto"/>
                <w:right w:val="none" w:sz="0" w:space="0" w:color="auto"/>
              </w:divBdr>
            </w:div>
            <w:div w:id="1409687865">
              <w:marLeft w:val="0"/>
              <w:marRight w:val="0"/>
              <w:marTop w:val="0"/>
              <w:marBottom w:val="0"/>
              <w:divBdr>
                <w:top w:val="none" w:sz="0" w:space="0" w:color="auto"/>
                <w:left w:val="none" w:sz="0" w:space="0" w:color="auto"/>
                <w:bottom w:val="none" w:sz="0" w:space="0" w:color="auto"/>
                <w:right w:val="none" w:sz="0" w:space="0" w:color="auto"/>
              </w:divBdr>
            </w:div>
            <w:div w:id="457920808">
              <w:marLeft w:val="0"/>
              <w:marRight w:val="0"/>
              <w:marTop w:val="0"/>
              <w:marBottom w:val="0"/>
              <w:divBdr>
                <w:top w:val="none" w:sz="0" w:space="0" w:color="auto"/>
                <w:left w:val="none" w:sz="0" w:space="0" w:color="auto"/>
                <w:bottom w:val="none" w:sz="0" w:space="0" w:color="auto"/>
                <w:right w:val="none" w:sz="0" w:space="0" w:color="auto"/>
              </w:divBdr>
            </w:div>
            <w:div w:id="18165681">
              <w:marLeft w:val="0"/>
              <w:marRight w:val="0"/>
              <w:marTop w:val="0"/>
              <w:marBottom w:val="0"/>
              <w:divBdr>
                <w:top w:val="none" w:sz="0" w:space="0" w:color="auto"/>
                <w:left w:val="none" w:sz="0" w:space="0" w:color="auto"/>
                <w:bottom w:val="none" w:sz="0" w:space="0" w:color="auto"/>
                <w:right w:val="none" w:sz="0" w:space="0" w:color="auto"/>
              </w:divBdr>
            </w:div>
            <w:div w:id="559024471">
              <w:marLeft w:val="0"/>
              <w:marRight w:val="0"/>
              <w:marTop w:val="0"/>
              <w:marBottom w:val="0"/>
              <w:divBdr>
                <w:top w:val="none" w:sz="0" w:space="0" w:color="auto"/>
                <w:left w:val="none" w:sz="0" w:space="0" w:color="auto"/>
                <w:bottom w:val="none" w:sz="0" w:space="0" w:color="auto"/>
                <w:right w:val="none" w:sz="0" w:space="0" w:color="auto"/>
              </w:divBdr>
            </w:div>
            <w:div w:id="1244798899">
              <w:marLeft w:val="0"/>
              <w:marRight w:val="0"/>
              <w:marTop w:val="0"/>
              <w:marBottom w:val="0"/>
              <w:divBdr>
                <w:top w:val="none" w:sz="0" w:space="0" w:color="auto"/>
                <w:left w:val="none" w:sz="0" w:space="0" w:color="auto"/>
                <w:bottom w:val="none" w:sz="0" w:space="0" w:color="auto"/>
                <w:right w:val="none" w:sz="0" w:space="0" w:color="auto"/>
              </w:divBdr>
            </w:div>
            <w:div w:id="952173061">
              <w:marLeft w:val="0"/>
              <w:marRight w:val="0"/>
              <w:marTop w:val="0"/>
              <w:marBottom w:val="0"/>
              <w:divBdr>
                <w:top w:val="none" w:sz="0" w:space="0" w:color="auto"/>
                <w:left w:val="none" w:sz="0" w:space="0" w:color="auto"/>
                <w:bottom w:val="none" w:sz="0" w:space="0" w:color="auto"/>
                <w:right w:val="none" w:sz="0" w:space="0" w:color="auto"/>
              </w:divBdr>
            </w:div>
            <w:div w:id="2072076297">
              <w:marLeft w:val="0"/>
              <w:marRight w:val="0"/>
              <w:marTop w:val="0"/>
              <w:marBottom w:val="0"/>
              <w:divBdr>
                <w:top w:val="none" w:sz="0" w:space="0" w:color="auto"/>
                <w:left w:val="none" w:sz="0" w:space="0" w:color="auto"/>
                <w:bottom w:val="none" w:sz="0" w:space="0" w:color="auto"/>
                <w:right w:val="none" w:sz="0" w:space="0" w:color="auto"/>
              </w:divBdr>
            </w:div>
            <w:div w:id="1540508292">
              <w:marLeft w:val="0"/>
              <w:marRight w:val="0"/>
              <w:marTop w:val="0"/>
              <w:marBottom w:val="0"/>
              <w:divBdr>
                <w:top w:val="none" w:sz="0" w:space="0" w:color="auto"/>
                <w:left w:val="none" w:sz="0" w:space="0" w:color="auto"/>
                <w:bottom w:val="none" w:sz="0" w:space="0" w:color="auto"/>
                <w:right w:val="none" w:sz="0" w:space="0" w:color="auto"/>
              </w:divBdr>
            </w:div>
            <w:div w:id="1089690304">
              <w:marLeft w:val="0"/>
              <w:marRight w:val="0"/>
              <w:marTop w:val="0"/>
              <w:marBottom w:val="0"/>
              <w:divBdr>
                <w:top w:val="none" w:sz="0" w:space="0" w:color="auto"/>
                <w:left w:val="none" w:sz="0" w:space="0" w:color="auto"/>
                <w:bottom w:val="none" w:sz="0" w:space="0" w:color="auto"/>
                <w:right w:val="none" w:sz="0" w:space="0" w:color="auto"/>
              </w:divBdr>
            </w:div>
            <w:div w:id="3039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3428">
      <w:bodyDiv w:val="1"/>
      <w:marLeft w:val="0"/>
      <w:marRight w:val="0"/>
      <w:marTop w:val="0"/>
      <w:marBottom w:val="0"/>
      <w:divBdr>
        <w:top w:val="none" w:sz="0" w:space="0" w:color="auto"/>
        <w:left w:val="none" w:sz="0" w:space="0" w:color="auto"/>
        <w:bottom w:val="none" w:sz="0" w:space="0" w:color="auto"/>
        <w:right w:val="none" w:sz="0" w:space="0" w:color="auto"/>
      </w:divBdr>
      <w:divsChild>
        <w:div w:id="1964994594">
          <w:marLeft w:val="480"/>
          <w:marRight w:val="0"/>
          <w:marTop w:val="0"/>
          <w:marBottom w:val="0"/>
          <w:divBdr>
            <w:top w:val="none" w:sz="0" w:space="0" w:color="auto"/>
            <w:left w:val="none" w:sz="0" w:space="0" w:color="auto"/>
            <w:bottom w:val="none" w:sz="0" w:space="0" w:color="auto"/>
            <w:right w:val="none" w:sz="0" w:space="0" w:color="auto"/>
          </w:divBdr>
          <w:divsChild>
            <w:div w:id="2025278769">
              <w:marLeft w:val="0"/>
              <w:marRight w:val="0"/>
              <w:marTop w:val="0"/>
              <w:marBottom w:val="0"/>
              <w:divBdr>
                <w:top w:val="none" w:sz="0" w:space="0" w:color="auto"/>
                <w:left w:val="none" w:sz="0" w:space="0" w:color="auto"/>
                <w:bottom w:val="none" w:sz="0" w:space="0" w:color="auto"/>
                <w:right w:val="none" w:sz="0" w:space="0" w:color="auto"/>
              </w:divBdr>
            </w:div>
            <w:div w:id="2030179796">
              <w:marLeft w:val="0"/>
              <w:marRight w:val="0"/>
              <w:marTop w:val="0"/>
              <w:marBottom w:val="0"/>
              <w:divBdr>
                <w:top w:val="none" w:sz="0" w:space="0" w:color="auto"/>
                <w:left w:val="none" w:sz="0" w:space="0" w:color="auto"/>
                <w:bottom w:val="none" w:sz="0" w:space="0" w:color="auto"/>
                <w:right w:val="none" w:sz="0" w:space="0" w:color="auto"/>
              </w:divBdr>
            </w:div>
            <w:div w:id="1775249887">
              <w:marLeft w:val="0"/>
              <w:marRight w:val="0"/>
              <w:marTop w:val="0"/>
              <w:marBottom w:val="0"/>
              <w:divBdr>
                <w:top w:val="none" w:sz="0" w:space="0" w:color="auto"/>
                <w:left w:val="none" w:sz="0" w:space="0" w:color="auto"/>
                <w:bottom w:val="none" w:sz="0" w:space="0" w:color="auto"/>
                <w:right w:val="none" w:sz="0" w:space="0" w:color="auto"/>
              </w:divBdr>
            </w:div>
            <w:div w:id="1578663065">
              <w:marLeft w:val="0"/>
              <w:marRight w:val="0"/>
              <w:marTop w:val="0"/>
              <w:marBottom w:val="0"/>
              <w:divBdr>
                <w:top w:val="none" w:sz="0" w:space="0" w:color="auto"/>
                <w:left w:val="none" w:sz="0" w:space="0" w:color="auto"/>
                <w:bottom w:val="none" w:sz="0" w:space="0" w:color="auto"/>
                <w:right w:val="none" w:sz="0" w:space="0" w:color="auto"/>
              </w:divBdr>
            </w:div>
            <w:div w:id="410739193">
              <w:marLeft w:val="0"/>
              <w:marRight w:val="0"/>
              <w:marTop w:val="0"/>
              <w:marBottom w:val="0"/>
              <w:divBdr>
                <w:top w:val="none" w:sz="0" w:space="0" w:color="auto"/>
                <w:left w:val="none" w:sz="0" w:space="0" w:color="auto"/>
                <w:bottom w:val="none" w:sz="0" w:space="0" w:color="auto"/>
                <w:right w:val="none" w:sz="0" w:space="0" w:color="auto"/>
              </w:divBdr>
            </w:div>
            <w:div w:id="1038239991">
              <w:marLeft w:val="0"/>
              <w:marRight w:val="0"/>
              <w:marTop w:val="0"/>
              <w:marBottom w:val="0"/>
              <w:divBdr>
                <w:top w:val="none" w:sz="0" w:space="0" w:color="auto"/>
                <w:left w:val="none" w:sz="0" w:space="0" w:color="auto"/>
                <w:bottom w:val="none" w:sz="0" w:space="0" w:color="auto"/>
                <w:right w:val="none" w:sz="0" w:space="0" w:color="auto"/>
              </w:divBdr>
            </w:div>
            <w:div w:id="1087923524">
              <w:marLeft w:val="0"/>
              <w:marRight w:val="0"/>
              <w:marTop w:val="0"/>
              <w:marBottom w:val="0"/>
              <w:divBdr>
                <w:top w:val="none" w:sz="0" w:space="0" w:color="auto"/>
                <w:left w:val="none" w:sz="0" w:space="0" w:color="auto"/>
                <w:bottom w:val="none" w:sz="0" w:space="0" w:color="auto"/>
                <w:right w:val="none" w:sz="0" w:space="0" w:color="auto"/>
              </w:divBdr>
            </w:div>
            <w:div w:id="288246371">
              <w:marLeft w:val="0"/>
              <w:marRight w:val="0"/>
              <w:marTop w:val="0"/>
              <w:marBottom w:val="0"/>
              <w:divBdr>
                <w:top w:val="none" w:sz="0" w:space="0" w:color="auto"/>
                <w:left w:val="none" w:sz="0" w:space="0" w:color="auto"/>
                <w:bottom w:val="none" w:sz="0" w:space="0" w:color="auto"/>
                <w:right w:val="none" w:sz="0" w:space="0" w:color="auto"/>
              </w:divBdr>
            </w:div>
            <w:div w:id="1505634022">
              <w:marLeft w:val="0"/>
              <w:marRight w:val="0"/>
              <w:marTop w:val="0"/>
              <w:marBottom w:val="0"/>
              <w:divBdr>
                <w:top w:val="none" w:sz="0" w:space="0" w:color="auto"/>
                <w:left w:val="none" w:sz="0" w:space="0" w:color="auto"/>
                <w:bottom w:val="none" w:sz="0" w:space="0" w:color="auto"/>
                <w:right w:val="none" w:sz="0" w:space="0" w:color="auto"/>
              </w:divBdr>
            </w:div>
            <w:div w:id="1326279168">
              <w:marLeft w:val="0"/>
              <w:marRight w:val="0"/>
              <w:marTop w:val="0"/>
              <w:marBottom w:val="0"/>
              <w:divBdr>
                <w:top w:val="none" w:sz="0" w:space="0" w:color="auto"/>
                <w:left w:val="none" w:sz="0" w:space="0" w:color="auto"/>
                <w:bottom w:val="none" w:sz="0" w:space="0" w:color="auto"/>
                <w:right w:val="none" w:sz="0" w:space="0" w:color="auto"/>
              </w:divBdr>
            </w:div>
            <w:div w:id="491222476">
              <w:marLeft w:val="0"/>
              <w:marRight w:val="0"/>
              <w:marTop w:val="0"/>
              <w:marBottom w:val="0"/>
              <w:divBdr>
                <w:top w:val="none" w:sz="0" w:space="0" w:color="auto"/>
                <w:left w:val="none" w:sz="0" w:space="0" w:color="auto"/>
                <w:bottom w:val="none" w:sz="0" w:space="0" w:color="auto"/>
                <w:right w:val="none" w:sz="0" w:space="0" w:color="auto"/>
              </w:divBdr>
            </w:div>
            <w:div w:id="1297372371">
              <w:marLeft w:val="0"/>
              <w:marRight w:val="0"/>
              <w:marTop w:val="0"/>
              <w:marBottom w:val="0"/>
              <w:divBdr>
                <w:top w:val="none" w:sz="0" w:space="0" w:color="auto"/>
                <w:left w:val="none" w:sz="0" w:space="0" w:color="auto"/>
                <w:bottom w:val="none" w:sz="0" w:space="0" w:color="auto"/>
                <w:right w:val="none" w:sz="0" w:space="0" w:color="auto"/>
              </w:divBdr>
            </w:div>
            <w:div w:id="1112818202">
              <w:marLeft w:val="0"/>
              <w:marRight w:val="0"/>
              <w:marTop w:val="0"/>
              <w:marBottom w:val="0"/>
              <w:divBdr>
                <w:top w:val="none" w:sz="0" w:space="0" w:color="auto"/>
                <w:left w:val="none" w:sz="0" w:space="0" w:color="auto"/>
                <w:bottom w:val="none" w:sz="0" w:space="0" w:color="auto"/>
                <w:right w:val="none" w:sz="0" w:space="0" w:color="auto"/>
              </w:divBdr>
            </w:div>
            <w:div w:id="1826974144">
              <w:marLeft w:val="0"/>
              <w:marRight w:val="0"/>
              <w:marTop w:val="0"/>
              <w:marBottom w:val="0"/>
              <w:divBdr>
                <w:top w:val="none" w:sz="0" w:space="0" w:color="auto"/>
                <w:left w:val="none" w:sz="0" w:space="0" w:color="auto"/>
                <w:bottom w:val="none" w:sz="0" w:space="0" w:color="auto"/>
                <w:right w:val="none" w:sz="0" w:space="0" w:color="auto"/>
              </w:divBdr>
            </w:div>
            <w:div w:id="69231655">
              <w:marLeft w:val="0"/>
              <w:marRight w:val="0"/>
              <w:marTop w:val="0"/>
              <w:marBottom w:val="0"/>
              <w:divBdr>
                <w:top w:val="none" w:sz="0" w:space="0" w:color="auto"/>
                <w:left w:val="none" w:sz="0" w:space="0" w:color="auto"/>
                <w:bottom w:val="none" w:sz="0" w:space="0" w:color="auto"/>
                <w:right w:val="none" w:sz="0" w:space="0" w:color="auto"/>
              </w:divBdr>
            </w:div>
            <w:div w:id="1605721915">
              <w:marLeft w:val="0"/>
              <w:marRight w:val="0"/>
              <w:marTop w:val="0"/>
              <w:marBottom w:val="0"/>
              <w:divBdr>
                <w:top w:val="none" w:sz="0" w:space="0" w:color="auto"/>
                <w:left w:val="none" w:sz="0" w:space="0" w:color="auto"/>
                <w:bottom w:val="none" w:sz="0" w:space="0" w:color="auto"/>
                <w:right w:val="none" w:sz="0" w:space="0" w:color="auto"/>
              </w:divBdr>
            </w:div>
            <w:div w:id="206067968">
              <w:marLeft w:val="0"/>
              <w:marRight w:val="0"/>
              <w:marTop w:val="0"/>
              <w:marBottom w:val="0"/>
              <w:divBdr>
                <w:top w:val="none" w:sz="0" w:space="0" w:color="auto"/>
                <w:left w:val="none" w:sz="0" w:space="0" w:color="auto"/>
                <w:bottom w:val="none" w:sz="0" w:space="0" w:color="auto"/>
                <w:right w:val="none" w:sz="0" w:space="0" w:color="auto"/>
              </w:divBdr>
            </w:div>
            <w:div w:id="1965888199">
              <w:marLeft w:val="0"/>
              <w:marRight w:val="0"/>
              <w:marTop w:val="0"/>
              <w:marBottom w:val="0"/>
              <w:divBdr>
                <w:top w:val="none" w:sz="0" w:space="0" w:color="auto"/>
                <w:left w:val="none" w:sz="0" w:space="0" w:color="auto"/>
                <w:bottom w:val="none" w:sz="0" w:space="0" w:color="auto"/>
                <w:right w:val="none" w:sz="0" w:space="0" w:color="auto"/>
              </w:divBdr>
            </w:div>
            <w:div w:id="1886676739">
              <w:marLeft w:val="0"/>
              <w:marRight w:val="0"/>
              <w:marTop w:val="0"/>
              <w:marBottom w:val="0"/>
              <w:divBdr>
                <w:top w:val="none" w:sz="0" w:space="0" w:color="auto"/>
                <w:left w:val="none" w:sz="0" w:space="0" w:color="auto"/>
                <w:bottom w:val="none" w:sz="0" w:space="0" w:color="auto"/>
                <w:right w:val="none" w:sz="0" w:space="0" w:color="auto"/>
              </w:divBdr>
            </w:div>
            <w:div w:id="314265005">
              <w:marLeft w:val="0"/>
              <w:marRight w:val="0"/>
              <w:marTop w:val="0"/>
              <w:marBottom w:val="0"/>
              <w:divBdr>
                <w:top w:val="none" w:sz="0" w:space="0" w:color="auto"/>
                <w:left w:val="none" w:sz="0" w:space="0" w:color="auto"/>
                <w:bottom w:val="none" w:sz="0" w:space="0" w:color="auto"/>
                <w:right w:val="none" w:sz="0" w:space="0" w:color="auto"/>
              </w:divBdr>
            </w:div>
            <w:div w:id="373382866">
              <w:marLeft w:val="0"/>
              <w:marRight w:val="0"/>
              <w:marTop w:val="0"/>
              <w:marBottom w:val="0"/>
              <w:divBdr>
                <w:top w:val="none" w:sz="0" w:space="0" w:color="auto"/>
                <w:left w:val="none" w:sz="0" w:space="0" w:color="auto"/>
                <w:bottom w:val="none" w:sz="0" w:space="0" w:color="auto"/>
                <w:right w:val="none" w:sz="0" w:space="0" w:color="auto"/>
              </w:divBdr>
            </w:div>
            <w:div w:id="1270578685">
              <w:marLeft w:val="0"/>
              <w:marRight w:val="0"/>
              <w:marTop w:val="0"/>
              <w:marBottom w:val="0"/>
              <w:divBdr>
                <w:top w:val="none" w:sz="0" w:space="0" w:color="auto"/>
                <w:left w:val="none" w:sz="0" w:space="0" w:color="auto"/>
                <w:bottom w:val="none" w:sz="0" w:space="0" w:color="auto"/>
                <w:right w:val="none" w:sz="0" w:space="0" w:color="auto"/>
              </w:divBdr>
            </w:div>
            <w:div w:id="2023046271">
              <w:marLeft w:val="0"/>
              <w:marRight w:val="0"/>
              <w:marTop w:val="0"/>
              <w:marBottom w:val="0"/>
              <w:divBdr>
                <w:top w:val="none" w:sz="0" w:space="0" w:color="auto"/>
                <w:left w:val="none" w:sz="0" w:space="0" w:color="auto"/>
                <w:bottom w:val="none" w:sz="0" w:space="0" w:color="auto"/>
                <w:right w:val="none" w:sz="0" w:space="0" w:color="auto"/>
              </w:divBdr>
            </w:div>
            <w:div w:id="1854496048">
              <w:marLeft w:val="0"/>
              <w:marRight w:val="0"/>
              <w:marTop w:val="0"/>
              <w:marBottom w:val="0"/>
              <w:divBdr>
                <w:top w:val="none" w:sz="0" w:space="0" w:color="auto"/>
                <w:left w:val="none" w:sz="0" w:space="0" w:color="auto"/>
                <w:bottom w:val="none" w:sz="0" w:space="0" w:color="auto"/>
                <w:right w:val="none" w:sz="0" w:space="0" w:color="auto"/>
              </w:divBdr>
            </w:div>
            <w:div w:id="700398217">
              <w:marLeft w:val="0"/>
              <w:marRight w:val="0"/>
              <w:marTop w:val="0"/>
              <w:marBottom w:val="0"/>
              <w:divBdr>
                <w:top w:val="none" w:sz="0" w:space="0" w:color="auto"/>
                <w:left w:val="none" w:sz="0" w:space="0" w:color="auto"/>
                <w:bottom w:val="none" w:sz="0" w:space="0" w:color="auto"/>
                <w:right w:val="none" w:sz="0" w:space="0" w:color="auto"/>
              </w:divBdr>
            </w:div>
            <w:div w:id="8102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ytimes.com/2004/02/15/international/asia/an-interview-with-pakistan-president-pervez-musharraf.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AFB12-F34B-D243-A348-ABC21D861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9338</Words>
  <Characters>53228</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Niloufer Siddiqui</dc:creator>
  <cp:keywords/>
  <dc:description/>
  <cp:lastModifiedBy>Siddiqui, Niloufer A</cp:lastModifiedBy>
  <cp:revision>2</cp:revision>
  <cp:lastPrinted>2018-05-03T19:05:00Z</cp:lastPrinted>
  <dcterms:created xsi:type="dcterms:W3CDTF">2019-02-26T19:15:00Z</dcterms:created>
  <dcterms:modified xsi:type="dcterms:W3CDTF">2019-02-26T19:15:00Z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id="O4QTQJic"/&gt;&lt;style id="http://www.zotero.org/styles/international-organization" hasBibliography="1" bibliographyStyleHasBeenSet="1"/&gt;&lt;prefs&gt;&lt;pref name="fieldType" value="Field"/&gt;&lt;pref name="automa</vt:lpwstr>
  </property>
  <property fmtid="{D5CDD505-2E9C-101B-9397-08002B2CF9AE}" pid="3" name="ZOTERO_PREF_2">
    <vt:lpwstr>ticJournalAbbreviations" value="true"/&gt;&lt;pref name="noteType" value="1"/&gt;&lt;/prefs&gt;&lt;/data&gt;</vt:lpwstr>
  </property>
</Properties>
</file>